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SprengV 4</w:t>
      </w:r>
    </w:p>
    <w:p>
      <w:r>
        <w:rPr>
          <w:color w:val="555555"/>
          <w:sz w:val="18"/>
        </w:rPr>
        <w:t xml:space="preserve">Kostenverordnung zum Sprengstoffgesetz</w:t>
      </w:r>
    </w:p>
    <w:p>
      <w:r>
        <w:rPr>
          <w:color w:val="555555"/>
          <w:sz w:val="18"/>
        </w:rPr>
        <w:t xml:space="preserve">Historische Fassung: Stand 10.06.2019 bis 02.10.2019. Dies ist nicht die aktuelle Fassung.</w:t>
      </w:r>
    </w:p>
    <w:p>
      <w:r>
        <w:t xml:space="preserve">(1) Die Gebühr ist nach dem Verwaltungsaufwand zu berechnen</w:t>
      </w:r>
    </w:p>
    <w:p>
      <w:pPr>
        <w:ind w:left="420"/>
      </w:pPr>
      <w:r>
        <w:t xml:space="preserve">1. für Prüfungen, die erforderlich sind zur</w:t>
      </w:r>
    </w:p>
    <w:p>
      <w:pPr>
        <w:ind w:left="780"/>
      </w:pPr>
      <w:r>
        <w:t xml:space="preserve">a) Feststellung der Explosionsgefährlichkeit von neuen Stoffen, die nach § 2 Abs. 1 des Gesetzes anzuzeigen sind,</w:t>
      </w:r>
    </w:p>
    <w:p>
      <w:pPr>
        <w:ind w:left="780"/>
      </w:pPr>
      <w:r>
        <w:t xml:space="preserve">b) Feststellung der Zusammensetzung und Beschaffenheit explosionsgefährlicher Stoffe und von Sprengzubehör im Verfahren für die Zulassung nach § 5 Abs. 1 und 2, im Verfahren für den Konformitätsnachweis nach § 5a Abs. 1 oder im Verfahren zur Erteilung eines Identifikationszeichens nach § 5a Abs. 1 und 2 des Gesetzes,</w:t>
      </w:r>
    </w:p>
    <w:p>
      <w:pPr>
        <w:ind w:left="780"/>
      </w:pPr>
      <w:r>
        <w:t xml:space="preserve">c) Entscheidung über Ausnahmen nach § 5 Abs. 3 oder § 5a Abs. 3 des Gesetzes,</w:t>
      </w:r>
    </w:p>
    <w:p>
      <w:pPr>
        <w:ind w:left="780"/>
      </w:pPr>
      <w:r>
        <w:t xml:space="preserve">d) Entscheidung über die Erteilung von Unbedenklichkeitsbescheinigungen nach § 22 Abs. 2 Satz 2 der Ersten Verordnung zum Sprengstoffgesetz in der jeweils geltenden Fassung,</w:t>
      </w:r>
    </w:p>
    <w:p>
      <w:pPr>
        <w:ind w:left="780"/>
      </w:pPr>
      <w:r>
        <w:t xml:space="preserve">e) Entscheidung über die Zuordnung von explosionsgefährlichen Stoffen zu einer Lager- oder Verträglichkeitsgruppe nach § 4 Abs. 3 der Zweiten Verordnung zum Sprengstoffgesetz in der jeweils geltenden Fassung,</w:t>
      </w:r>
    </w:p>
    <w:p>
      <w:pPr>
        <w:ind w:left="420"/>
      </w:pPr>
      <w:r>
        <w:t xml:space="preserve">f) Feststellung der Übereinstimmung mit technischen Lieferbedingungen gemäß § 3 Abs. 2 der Ersten Verordnung zum Sprengstoffgesetz,</w:t>
      </w:r>
    </w:p>
    <w:p>
      <w:pPr>
        <w:ind w:left="420"/>
      </w:pPr>
      <w:r>
        <w:t xml:space="preserve">2. für Prüfungen und Untersuchungen der nach § 5 oder § 5a des Gesetzes zuständigen Stelle oder eines von ihr beauftragten Prüfungslaboratoriums, die zum Zwecke der Überwachung erforderlich sind,</w:t>
      </w:r>
    </w:p>
    <w:p>
      <w:pPr>
        <w:ind w:left="420"/>
      </w:pPr>
      <w:r>
        <w:t xml:space="preserve">3. für Prüfungen und Maßnahmen nach § 32a des Gesetzes, die zum Zwecke der Überwachung erforderlich sind.</w:t>
      </w:r>
    </w:p>
    <w:p>
      <w:r>
        <w:t xml:space="preserve">(2) Werden Prüfungen außerhalb der Dienststelle durchgeführt, so sind Gebühren nach dem Verwaltungsaufwand auch für</w:t>
      </w:r>
    </w:p>
    <w:p>
      <w:pPr>
        <w:ind w:left="420"/>
      </w:pPr>
      <w:r>
        <w:t xml:space="preserve">1. Reisezeiten,</w:t>
      </w:r>
    </w:p>
    <w:p>
      <w:pPr>
        <w:ind w:left="420"/>
      </w:pPr>
      <w:r>
        <w:t xml:space="preserve">2. Wartezeiten, die vom Kostenschuldner zu vertreten sind,</w:t>
      </w:r>
    </w:p>
    <w:p>
      <w:r>
        <w:t xml:space="preserve">zu berechnen, soweit die Zeiten innerhalb der üblichen Arbeitszeit liegen oder von der Behörde besonders abgegolten werden.</w:t>
      </w:r>
    </w:p>
    <w:p>
      <w:r>
        <w:t xml:space="preserve">(3) Bei der Berechnung der Gebühr nach dem Verwaltungsaufwand sind als Stundensätze zugrunde zu legen</w:t>
      </w:r>
    </w:p>
    <w:p>
      <w:pPr>
        <w:ind w:left="420"/>
      </w:pPr>
      <w:r>
        <w:t xml:space="preserve">1. bei der Tätigkeit von Einrichtungen des Bundes die für die jeweils in Anspruch genommene Einrichtung durch Gesetz oder auf Grund eines Gesetzes festgelegten Stundensätze,</w:t>
      </w:r>
    </w:p>
    <w:p>
      <w:pPr>
        <w:ind w:left="420"/>
      </w:pPr>
      <w:r>
        <w:t xml:space="preserve">2. bei der Tätigkeit von Einrichtungen eines Landes die für diese Tätigkeit durch Gesetz oder auf Grund eines Gesetzes eigens festgelegten Stundensätze,</w:t>
      </w:r>
    </w:p>
    <w:p>
      <w:pPr>
        <w:ind w:left="420"/>
      </w:pPr>
      <w:r>
        <w:t xml:space="preserve">3. bei der Tätigkeit sonstiger Einrichtungen die durch Landesgesetz oder auf Grund eines Landesgesetzes eigens festgelegten Stundensätze.</w:t>
      </w:r>
    </w:p>
    <w:p>
      <w:r>
        <w:t xml:space="preserve">Sind für die Tätigkeit dieser Einrichtungen nicht eigens Stundensätze durch Gesetz oder auf Grund eines Gesetzes festgelegt, sind die Stundensätze des § 2 Abs. 1 der Kostenverordnung für Nutzleistungen der Bundesanstalt für Materialforschung und -prüfung in der jeweils geltenden Fassung zugrunde zu legen. Für Reise- und Wartezeiten im Sinne des Absatzes 2 ist die Hälfte der Stundensätze zugrunde zu legen. Für jede angefangene Viertelstunde ist ein Viertel der Stundensätze nach Satz 1 oder 2 zu berechnen.</w:t>
      </w:r>
    </w:p>
    <w:p>
      <w:r>
        <w:rPr>
          <w:color w:val="555555"/>
          <w:sz w:val="17"/>
        </w:rPr>
        <w:t xml:space="preserve">Zitiervorschlag: § 2 SprengV 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