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SprengV 3</w:t>
      </w:r>
    </w:p>
    <w:p>
      <w:r>
        <w:rPr>
          <w:color w:val="555555"/>
          <w:sz w:val="18"/>
        </w:rPr>
        <w:t xml:space="preserve">Dritte Verordnung zum Sprengstoffgesetz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25 Nr. 1 und 5 in Verbindung mit § 39 Abs. 2 Satz 1 des Sprengstoffgesetzes vom 13. September 1976 (BGBl. I S. 2737) wird vom Bundesminister für Arbeit und Sozialordnung im Einvernehmen mit dem Bundesminister des Innern, auf Grund des § 29 Nr. 2 Buchstaben a und c des Sprengstoffgesetzes wird vom Bundesminister des Innern, auf Grund des § 4 Abs. 1 Nr. 2 in Verbindung mit § 39 Abs. 1 Satz 1 des Sprengstoffgesetzes wird vom Bundesminister des Innern im Einvernehmen mit dem Bundesminister für Wirtschaft und dem Bundesminister für Arbeit und Sozialordnung mit Zustimmung des Bundesrates verordnet:</w:t>
      </w:r>
    </w:p>
    <w:p>
      <w:r>
        <w:rPr>
          <w:color w:val="555555"/>
          <w:sz w:val="17"/>
        </w:rPr>
        <w:t xml:space="preserve">Zitiervorschlag: Eingangsformel SprengV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https://recht.nulegal.eu/gesetze/SprengV%203/eingangsformel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