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SprengV 3 — Berlin-Klausel</w:t>
      </w:r>
    </w:p>
    <w:p>
      <w:r>
        <w:rPr>
          <w:color w:val="555555"/>
          <w:sz w:val="18"/>
        </w:rPr>
        <w:t xml:space="preserve">Dritte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52 des Sprengstoffgesetzes auch im Land Berlin. Die Vorschriften dieser Verordnung sind im Land Berlin jedoch nicht anzuwenden, soweit sie mit Rechtsvorschriften der alliierten Behörden unvereinbar sind.</w:t>
      </w:r>
    </w:p>
    <w:p>
      <w:r>
        <w:rPr>
          <w:color w:val="555555"/>
          <w:sz w:val="17"/>
        </w:rPr>
        <w:t xml:space="preserve">Zitiervorschlag: § 6 SprengV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