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 SprengV 3 — Ordnungswidrigkeiten</w:t>
      </w:r>
    </w:p>
    <w:p>
      <w:r>
        <w:rPr>
          <w:color w:val="555555"/>
          <w:sz w:val="18"/>
        </w:rPr>
        <w:t xml:space="preserve">Dritte Verordnung zum Sprengstoffgesetz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Ordnungswidrig im Sinne des § 41 Abs. 1 Nr. 16 des Sprengstoffgesetzes handelt, wer vorsätzlich oder fahrlässig</w:t>
      </w:r>
    </w:p>
    <w:p>
      <w:pPr>
        <w:ind w:left="420"/>
      </w:pPr>
      <w:r>
        <w:t xml:space="preserve">1. entgegen § 1 Abs. 1 eine Anzeige nicht oder nicht rechtzeitig erstattet oder entgegen § 1 Abs. 2 Angaben nicht, nicht vollständig, nicht rechtzeitig oder unrichtig macht oder Unterlagen nicht, nicht vollständig oder nicht rechtzeitig vorlegt,</w:t>
      </w:r>
    </w:p>
    <w:p>
      <w:pPr>
        <w:ind w:left="420"/>
      </w:pPr>
      <w:r>
        <w:t xml:space="preserve">2. entgegen § 2 eine Veränderung nicht, nicht rechtzeitig, unvollständig oder unrichtig anzeigt oder eine Sprengung vor Ablauf der vorgeschriebenen Fristen durchführt.</w:t>
      </w:r>
    </w:p>
    <w:p>
      <w:r>
        <w:rPr>
          <w:color w:val="555555"/>
          <w:sz w:val="17"/>
        </w:rPr>
        <w:t xml:space="preserve">Zitiervorschlag: § 4 SprengV 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https://recht.nulegal.eu/gesetze/SprengV%203/4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 SprengV 3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