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3 SprengV 3 — Ausnahmen von der Anzeigepflicht</w:t>
      </w:r>
    </w:p>
    <w:p>
      <w:r>
        <w:rPr>
          <w:color w:val="555555"/>
          <w:sz w:val="18"/>
        </w:rPr>
        <w:t xml:space="preserve">Dritte Verordnung zum Sprengstoffgesetz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§ 1 gilt nicht, wenn in Anlagen gesprengt werden soll, die nach § 4 des Bundes-Immissionsschutzgesetzes genehmigt sind oder die nach § 67 Abs. 1 des Bundes-Immissionsschutzgesetzes als genehmigt gelten und die Genehmigung die Sprengungen einschließt.</w:t>
      </w:r>
    </w:p>
    <w:p>
      <w:r>
        <w:t xml:space="preserve">(2) Die zuständige Behörde kann im Einzelfall auf die Erstattung der Anzeige oder die Einhaltung der Frist verzichten, wenn dies aus besonderen Gründen gerechtfertigt erscheint.</w:t>
      </w:r>
    </w:p>
    <w:p>
      <w:r>
        <w:rPr>
          <w:color w:val="555555"/>
          <w:sz w:val="17"/>
        </w:rPr>
        <w:t xml:space="preserve">Zitiervorschlag: § 3 SprengV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https://recht.nulegal.eu/gesetze/SprengV%203/3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3 SprengV 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