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SprengV 2 — Ordnungswidrigkeiten</w:t>
      </w:r>
    </w:p>
    <w:p>
      <w:r>
        <w:rPr>
          <w:color w:val="555555"/>
          <w:sz w:val="18"/>
        </w:rPr>
        <w:t xml:space="preserve">Zweite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41 Abs. 1 Nr. 16 des Sprengstoffgesetzes handelt, wer vorsätzlich oder fahrlässig entgegen § 5 Abs. 5 das Zulassungszeichen nicht oder nicht in der vorgeschriebenen Weise anbringt.</w:t>
      </w:r>
    </w:p>
    <w:p>
      <w:r>
        <w:rPr>
          <w:color w:val="555555"/>
          <w:sz w:val="17"/>
        </w:rPr>
        <w:t xml:space="preserve">Zitiervorschlag: § 7 SprengV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https://recht.nulegal.eu/gesetze/SprengV%202/7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