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SprengV 2 — Bauartzulassung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Antrag auf Erteilung der Bauartzulassung für Bauteile oder Systeme eines Lagers, insbesondere für Schranklager, ist bei der nach § 17 Abs. 4 des Gesetzes zuständigen Behörde (Zulassungsbehörde) zu stellen. Dem Antrag sind die für die Prüfung erforderlichen Zeichnungen und Beschreibungen über die Bauart und die Betriebsweise sowie etwa erforderliche Berechnungen beizufügen.</w:t>
      </w:r>
    </w:p>
    <w:p>
      <w:r>
        <w:t xml:space="preserve">(2) Die Zulassungsbehörde kann verlangen, dass ihr oder der von ihr bestimmten Stelle ein Baumuster zu überlassen ist.</w:t>
      </w:r>
    </w:p>
    <w:p>
      <w:r>
        <w:t xml:space="preserve">(3) Die Zulassungsbehörde kann vor der Entscheidung über den Antrag verlangen, dass ein Gutachten einer von ihr zu bestimmenden sachverständigen Stelle vorgelegt wird.</w:t>
      </w:r>
    </w:p>
    <w:p>
      <w:r>
        <w:t xml:space="preserve">(4) Die Zulassungsbehörde erteilt dem Antragsteller einen Zulassungsbescheid. Dieser muss folgende Angaben enthalten:</w:t>
      </w:r>
    </w:p>
    <w:p>
      <w:pPr>
        <w:ind w:left="420"/>
      </w:pPr>
      <w:r>
        <w:t xml:space="preserve">1. Name und Anschrift des Antragstellers,</w:t>
      </w:r>
    </w:p>
    <w:p>
      <w:pPr>
        <w:ind w:left="420"/>
      </w:pPr>
      <w:r>
        <w:t xml:space="preserve">2. Art und Modellbezeichnung des Bauteils oder des Systems,</w:t>
      </w:r>
    </w:p>
    <w:p>
      <w:pPr>
        <w:ind w:left="420"/>
      </w:pPr>
      <w:r>
        <w:t xml:space="preserve">3. die wesentlichen Merkmale des Bauteils oder des Systems,</w:t>
      </w:r>
    </w:p>
    <w:p>
      <w:pPr>
        <w:ind w:left="420"/>
      </w:pPr>
      <w:r>
        <w:t xml:space="preserve">4. Art und Form des Zulassungszeichens,</w:t>
      </w:r>
    </w:p>
    <w:p>
      <w:pPr>
        <w:ind w:left="420"/>
      </w:pPr>
      <w:r>
        <w:t xml:space="preserve">5. die inhaltlichen Beschränkungen und die Nebenbestimmungen der Zulassung.</w:t>
      </w:r>
    </w:p>
    <w:p>
      <w:r>
        <w:t xml:space="preserve">(5) Der Inhaber der Zulassung hat dauerhaft und deutlich sichtbar auf jedem nachgebauten Stück das Zulassungszeichen anzubringen.</w:t>
      </w:r>
    </w:p>
    <w:p>
      <w:r>
        <w:rPr>
          <w:color w:val="555555"/>
          <w:sz w:val="17"/>
        </w:rPr>
        <w:t xml:space="preserve">Zitiervorschlag: § 5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