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SprengV 2 — (Inkrafttreten, Außerkrafttreten von Rechtsvorschriften)</w:t>
      </w:r>
    </w:p>
    <w:p>
      <w:r>
        <w:rPr>
          <w:color w:val="555555"/>
          <w:sz w:val="18"/>
        </w:rPr>
        <w:t xml:space="preserve">Zweite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10 SprengV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https://recht.nulegal.eu/gesetze/SprengV%202/10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