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SprengV 2 — Anwendungsbereich</w:t>
      </w:r>
    </w:p>
    <w:p>
      <w:r>
        <w:rPr>
          <w:color w:val="555555"/>
          <w:sz w:val="18"/>
        </w:rPr>
        <w:t xml:space="preserve">Zweite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Verordnung gilt für die Aufbewahrung von explosionsgefährlichen Stoffen (Explosivstoffe und sonstige explosionsgefährliche Stoffe).</w:t>
      </w:r>
    </w:p>
    <w:p>
      <w:r>
        <w:t xml:space="preserve">(2) Die Verordnung gilt nicht für explosionsgefährliche Stoffe</w:t>
      </w:r>
    </w:p>
    <w:p>
      <w:pPr>
        <w:ind w:left="420"/>
      </w:pPr>
      <w:r>
        <w:t xml:space="preserve">1. auf Straßen-, Schienen-, Wasser- und Luftfahrzeugen während der Beförderung,</w:t>
      </w:r>
    </w:p>
    <w:p>
      <w:pPr>
        <w:ind w:left="420"/>
      </w:pPr>
      <w:r>
        <w:t xml:space="preserve">2. auf den in Nummer 1 genannten Fahrzeugen, soweit die Stoffe zu Zwecken des Fahrzeugbetriebes aufbewahrt werden,</w:t>
      </w:r>
    </w:p>
    <w:p>
      <w:pPr>
        <w:ind w:left="420"/>
      </w:pPr>
      <w:r>
        <w:t xml:space="preserve">3. die sich im Arbeitsgang befinden,</w:t>
      </w:r>
    </w:p>
    <w:p>
      <w:pPr>
        <w:ind w:left="420"/>
      </w:pPr>
      <w:r>
        <w:t xml:space="preserve">4. die in der für den Fortgang der Arbeiten erforderlichen Menge bereitgehalten werden,</w:t>
      </w:r>
    </w:p>
    <w:p>
      <w:pPr>
        <w:ind w:left="420"/>
      </w:pPr>
      <w:r>
        <w:t xml:space="preserve">5. die als Fertig- oder Zwischenprodukte kurzzeitig abgestellt werden.</w:t>
      </w:r>
    </w:p>
    <w:p>
      <w:r>
        <w:rPr>
          <w:color w:val="555555"/>
          <w:sz w:val="17"/>
        </w:rPr>
        <w:t xml:space="preserve">Zitiervorschlag: § 1 SprengV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