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Explosivstoffe, pyrotechnische Gegenstände sowie sonstige explosionsgefährliche Gegenstände nach § 1 Absatz 4 Nummer 1 und 2 des Sprengstoffgesetzes und Sprengzubehör dürfen keine Bezeichnung haben, die zur Irreführung geeignet ist oder eine Verwechslung mit Stoffen und Gegenständen anderer Beschaffenheit hervorruft.</w:t>
      </w:r>
    </w:p>
    <w:p>
      <w:r>
        <w:t xml:space="preserve">(2) Die Bezeichnung der Wettersprengstoffe und der Wettersprengschnüre muß mit dem Wort "Wetter" beginnen. Die Wettersprengstoffe und -sprengschnüre desselben Typs sind zusätzlich durch große lateinische Buchstaben in der Reihenfolge des Alphabets zu unterscheiden.</w:t>
      </w:r>
    </w:p>
    <w:p>
      <w:r>
        <w:t xml:space="preserve">(3) Schlagwettergesicherte Zündmaschinen und Zündmaschinenprüfgeräte müssen in der Typenbezeichnung den Buchstaben "K" führen.</w:t>
      </w:r>
    </w:p>
    <w:p>
      <w:r>
        <w:t xml:space="preserve">(4) Sprengschnüre und Anzündschnüre müssen mindestens einen farbigen Kennfaden, der für die Herstellungsstätte charakteristisch ist, enthalten.</w:t>
      </w:r>
    </w:p>
    <w:p>
      <w:r>
        <w:t xml:space="preserve">(5) Zündmittel müssen ein Zeichen für die Herstellungsstätte aufweisen.</w:t>
      </w:r>
    </w:p>
    <w:p>
      <w:r>
        <w:rPr>
          <w:color w:val="555555"/>
          <w:sz w:val="17"/>
        </w:rPr>
        <w:t xml:space="preserve">Zitiervorschlag: § 7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