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6a SprengV 1</w:t>
      </w:r>
    </w:p>
    <w:p>
      <w:r>
        <w:rPr>
          <w:color w:val="555555"/>
          <w:sz w:val="18"/>
        </w:rPr>
        <w:t xml:space="preserve">Erste Verordnung zum Sprengstoffgesetz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in der Anlage 5 Nummer 1 bezeichneten Sprengstoffe sind darüber hinaus nach Anlage 5 Nummer 2 zu markieren. Dies gilt auch für Sprengstoffe für militärische oder polizeiliche Zwecke sowie für Zwecke des Katastrophenschutzes einschließlich der Sprengstoffe im Besitz von militärischen oder polizeilichen Dienststellen und Dienststellen des Katastrophenschutzes.</w:t>
      </w:r>
    </w:p>
    <w:p>
      <w:r>
        <w:t xml:space="preserve">(2) Nicht markierte Sprengstoffe nach Absatz 1 dürfen im Geltungsbereich dieser Verordnung nicht hergestellt, verarbeitet, wiedergewonnen, aufbewahrt, verwendet, in Verkehr gebracht, anderen überlassen oder verbracht werden. Ihre Einfuhr und Ausfuhr ist untersagt.</w:t>
      </w:r>
    </w:p>
    <w:p>
      <w:r>
        <w:t xml:space="preserve">(3) Die Absätze 1 und 2 gelten nicht für nicht markierte Sprengstoffe, die in geringen Mengen</w:t>
      </w:r>
    </w:p>
    <w:p>
      <w:pPr>
        <w:ind w:left="420"/>
      </w:pPr>
      <w:r>
        <w:t xml:space="preserve">1. nur zur Verwendung bei der Forschung und Entwicklung oder beim Testen neuer oder veränderter Sprengstoffe hergestellt oder gelagert werden,</w:t>
      </w:r>
    </w:p>
    <w:p>
      <w:pPr>
        <w:ind w:left="420"/>
      </w:pPr>
      <w:r>
        <w:t xml:space="preserve">2. nur zur Verwendung bei der Ausbildung in der Sprengstoffdetektion und/oder bei der Entwicklung oder dem Testen von Sprengstoffspürgeräten hergestellt oder gelagert werden,</w:t>
      </w:r>
    </w:p>
    <w:p>
      <w:pPr>
        <w:ind w:left="420"/>
      </w:pPr>
      <w:r>
        <w:t xml:space="preserve">3. nur für den Umgang für Zwecke der Kriminaltechnik und der polizeilichen Spezialausbildung benötigt werden.</w:t>
      </w:r>
    </w:p>
    <w:p>
      <w:r>
        <w:rPr>
          <w:color w:val="555555"/>
          <w:sz w:val="17"/>
        </w:rPr>
        <w:t xml:space="preserve">Zitiervorschlag: § 6a SprengV 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https://recht.nulegal.eu/gesetze/SprengV%201/6a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