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Sonstige explosionsgefährliche Stoffe nach § 1 Absatz 4 Nummer 1 und 2 des Sprengstoffgesetzes und Sprengzubehör müssen in ihrer Zusammensetzung und Beschaffenheit den in der Anlage 1 bezeichneten Anforderungen entsprechen. Bei Gegenständen und Stoffen, die in anderen Mitgliedstaaten der Europäischen Union hergestellt sind, kann in der Regel angenommen werden, dass die technischen Anforderungen der Anlage 1 erfüllt sind, wenn die Zusammensetzung und Beschaffenheit der Gegenstände und Stoffe den dort geltenden Regelungen entsprechen und nachweislich die gleiche Sicherheit, wie sie die technischen Anforderungen der Anlage 1 festlegen, erreicht wird. Zum Nachweis kann das Gutachten einer Prüfstelle eines anderen Mitgliedstaates anerkannt werden, wenn die dem Gutachten zugrunde liegenden technischen Anforderungen denen der Anlage 1 und denen der „Prüfverfahren und Prüfvorschriften für Sprengstoffe, Zündmittel, Sprengzubehör sowie pyrotechnische Gegenstände und deren Sätze“ vom 12. März 1982 (Beilage 13/82 BAnz. Nr. 59 vom 26. März 1982, BAnz. Nr. 60 vom 27. März 1982) gleichwertig sind.</w:t>
      </w:r>
    </w:p>
    <w:p>
      <w:r>
        <w:t xml:space="preserve">(2) Die Bundesanstalt für Materialforschung und -prüfung kann für sonstige explosionsgefährliche Stoffe nach § 1 Absatz 4 Nummer 1 und 2 des Sprengstoffgesetzes und Sprengzubehör im Einzelfall von einzelnen Anforderungen der Anlage 1 Ausnahmen zulassen oder zusätzliche Anforderungen stellen sowie von der Prüfung einzelner Anforderungen absehen, wenn der Schutz von Leben und Gesundheit Beschäftigter oder Dritter oder Sachgütern dies zulässt oder erfordert.</w:t>
      </w:r>
    </w:p>
    <w:p>
      <w:r>
        <w:t xml:space="preserve">(3) Die Zusammensetzung und die Beschaffenheit von elektrischen Brückenzündern, pyrotechnischen Sätzen sowie Wettersprengstoffen und Wettersprengschnüren müssen den Anforderungen der Anlage 2 entsprechen.</w:t>
      </w:r>
    </w:p>
    <w:p>
      <w:r>
        <w:t xml:space="preserve">(4) Die Bundesanstalt für Materialforschung und -prüfung hat für Sprengzubehör dem Zulassungsinhaber die Verwendung eines Zulassungszeichens vorzuschreiben. Das Zulassungszeichen besteht aus der Kurzbezeichnung der Bundesanstalt für Materialforschung und -prüfung „BAM“, dem in der Anlage 4 für den jeweiligen Stoff oder Gegenstand vorgesehenen Zeichen und einer fortlaufenden Kennnummer.</w:t>
      </w:r>
    </w:p>
    <w:p>
      <w:r>
        <w:rPr>
          <w:color w:val="555555"/>
          <w:sz w:val="17"/>
        </w:rPr>
        <w:t xml:space="preserve">Zitiervorschlag: § 6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