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49 SprengV 1</w:t>
      </w:r>
    </w:p>
    <w:p>
      <w:r>
        <w:rPr>
          <w:color w:val="555555"/>
          <w:sz w:val="18"/>
        </w:rPr>
        <w:t xml:space="preserve">Erste Verordnung zum Sprengstoffgesetz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§ 17 Absatz 1 bis 3 ist ab dem 5. April 2013 anzuwenden; § 41 Absatz 5a und § 42 Absatz 1 Nummer 5 sind ab dem 5. April 2015 anzuwenden.</w:t>
      </w:r>
    </w:p>
    <w:p>
      <w:r>
        <w:t xml:space="preserve">(2) Explosivstoffe, die bis zum 4. April 2013 ohne die nach § 17 Absatz 1 bis 3 vorgeschriebene Kennzeichnung in den Verkehr gebracht wurden, dürfen nach dem 5. April 2015 vom Besitzer ausschließlich</w:t>
      </w:r>
    </w:p>
    <w:p>
      <w:pPr>
        <w:ind w:left="420"/>
      </w:pPr>
      <w:r>
        <w:t xml:space="preserve">1. aufbewahrt, verwendet, zur eigenen Verwendung verbracht, vernichtet oder zur Vernichtung verbracht werden oder</w:t>
      </w:r>
    </w:p>
    <w:p>
      <w:pPr>
        <w:ind w:left="420"/>
      </w:pPr>
      <w:r>
        <w:t xml:space="preserve">2. den in § 1a Absatz 1 Nummer 2 bis 5 sowie Absatz 2 Nummer 5 des Sprengstoffgesetzes bezeichneten Stellen zur dienstlichen Nutzung überlassen werden.</w:t>
      </w:r>
    </w:p>
    <w:p>
      <w:r>
        <w:t xml:space="preserve">(3) Eine von der Bundesanstalt für Materialforschung und -prüfung vergebene Identifikationsnummer darf weiterhin in die Gebrauchsanleitung aufgenommen werden.</w:t>
      </w:r>
    </w:p>
    <w:p>
      <w:r>
        <w:rPr>
          <w:color w:val="555555"/>
          <w:sz w:val="17"/>
        </w:rPr>
        <w:t xml:space="preserve">Zitiervorschlag: § 49 SprengV 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https://recht.nulegal.eu/gesetze/SprengV%201/49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