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SprengV 1</w:t>
      </w:r>
    </w:p>
    <w:p>
      <w:r>
        <w:rPr>
          <w:color w:val="555555"/>
          <w:sz w:val="18"/>
        </w:rPr>
        <w:t xml:space="preserve">Erste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für die Verfolgung und Ahndung von Ordnungswidrigkeiten nach § 41 Absatz 1 Nummer 1 bis 1b, 2, 2a und 3 Buchstabe a des Sprengstoffgesetzes wird auf die Bundesanstalt für Materialforschung und -prüfung übertragen.</w:t>
      </w:r>
    </w:p>
    <w:p>
      <w:r>
        <w:rPr>
          <w:color w:val="555555"/>
          <w:sz w:val="17"/>
        </w:rPr>
        <w:t xml:space="preserve">Zitiervorschlag: § 47 SprengV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https://recht.nulegal.eu/gesetze/SprengV%201/47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