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SprengV 1</w:t>
      </w:r>
    </w:p>
    <w:p>
      <w:r>
        <w:rPr>
          <w:color w:val="555555"/>
          <w:sz w:val="18"/>
        </w:rPr>
        <w:t xml:space="preserve">Erste Verordnung zum 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41 Abs. 1 Nr. 16 des Sprengstoffgesetzes handelt, wer vorsätzlich oder fahrlässig</w:t>
      </w:r>
    </w:p>
    <w:p>
      <w:pPr>
        <w:ind w:left="420"/>
      </w:pPr>
      <w:r>
        <w:t xml:space="preserve">1. entgegen § 14 Absatz 1, 5 oder 6, § 18 Absatz 1 oder § 18b einen pyrotechnischen Gegenstand, einen explosionsgefährlichen Stoff, Treibladungspulver oder Schwarzpulver einem anderen überlässt,</w:t>
      </w:r>
    </w:p>
    <w:p>
      <w:pPr>
        <w:ind w:left="420"/>
      </w:pPr>
      <w:r>
        <w:t xml:space="preserve">2. entgegen § 18c Satz 1 ein Sprengzubehör verwendet,</w:t>
      </w:r>
    </w:p>
    <w:p>
      <w:pPr>
        <w:ind w:left="420"/>
      </w:pPr>
      <w:r>
        <w:t xml:space="preserve">3. entgegen § 20 Absatz 4 Satz 1 einen pyrotechnischen Gegenstand überlässt,</w:t>
      </w:r>
    </w:p>
    <w:p>
      <w:pPr>
        <w:ind w:left="420"/>
      </w:pPr>
      <w:r>
        <w:t xml:space="preserve">3a. (weggefallen)</w:t>
      </w:r>
    </w:p>
    <w:p>
      <w:pPr>
        <w:ind w:left="420"/>
      </w:pPr>
      <w:r>
        <w:t xml:space="preserve">4. (weggefallen)</w:t>
      </w:r>
    </w:p>
    <w:p>
      <w:pPr>
        <w:ind w:left="420"/>
      </w:pPr>
      <w:r>
        <w:t xml:space="preserve">5. (weggefallen)</w:t>
      </w:r>
    </w:p>
    <w:p>
      <w:pPr>
        <w:ind w:left="420"/>
      </w:pPr>
      <w:r>
        <w:t xml:space="preserve">6. (weggefallen)</w:t>
      </w:r>
    </w:p>
    <w:p>
      <w:pPr>
        <w:ind w:left="420"/>
      </w:pPr>
      <w:r>
        <w:t xml:space="preserve">6a. (weggefallen)</w:t>
      </w:r>
    </w:p>
    <w:p>
      <w:pPr>
        <w:ind w:left="420"/>
      </w:pPr>
      <w:r>
        <w:t xml:space="preserve">7. entgegen § 21 Absatz 2, Absatz 3 Satz 1 oder Absatz 5 oder § 22 Absatz 2 ein Sortiment oder einen pyrotechnischen Gegenstand überlässt,</w:t>
      </w:r>
    </w:p>
    <w:p>
      <w:pPr>
        <w:ind w:left="420"/>
      </w:pPr>
      <w:r>
        <w:t xml:space="preserve">8. entgegen § 21 Absatz 3 oder Absatz 5 einen pyrotechnischen Gegenstand vertreibt,</w:t>
      </w:r>
    </w:p>
    <w:p>
      <w:pPr>
        <w:ind w:left="420"/>
      </w:pPr>
      <w:r>
        <w:t xml:space="preserve">8a. entgegen § 21 Absatz 4 Satz 1 einen pyrotechnischen Gegenstand ausstellt,</w:t>
      </w:r>
    </w:p>
    <w:p>
      <w:pPr>
        <w:ind w:left="420"/>
      </w:pPr>
      <w:r>
        <w:t xml:space="preserve">8b. entgegen § 23 Absatz 1 oder Absatz 2 Satz 1 einen pyrotechnischen Gegenstand abbrennt,</w:t>
      </w:r>
    </w:p>
    <w:p>
      <w:pPr>
        <w:ind w:left="420"/>
      </w:pPr>
      <w:r>
        <w:t xml:space="preserve">8c. entgegen § 23 Absatz 3 Satz 1 oder Absatz 7 Satz 1 eine Anzeige nicht oder nicht rechtzeitig erstattet,</w:t>
      </w:r>
    </w:p>
    <w:p>
      <w:pPr>
        <w:ind w:left="420"/>
      </w:pPr>
      <w:r>
        <w:t xml:space="preserve">9. entgegen einer Anordnung nach § 24 Abs. 2 pyrotechnische Gegenstände abbrennt,</w:t>
      </w:r>
    </w:p>
    <w:p>
      <w:pPr>
        <w:ind w:left="420"/>
      </w:pPr>
      <w:r>
        <w:t xml:space="preserve">10. entgegen § 25 Abs. 1 Satz 1 explosionsgefährliche Stoffe ohne Vorlage des Erlaubnisbescheides oder einer Ausfertigung des Erlaubnisbescheides überläßt oder entgegen § 25 Abs. 1 Satz 2 beim Überlassen der Stoffe die vorgeschriebenen Angaben in der Erlaubnisurkunde nicht dauerhaft einträgt,</w:t>
      </w:r>
    </w:p>
    <w:p>
      <w:pPr>
        <w:ind w:left="420"/>
      </w:pPr>
      <w:r>
        <w:t xml:space="preserve">11. einer Vorschrift des § 26 Abs. 1 über das Verhalten beim Umgang mit Treibladungspulver oder Anzündhütchen, des § 26 Abs. 2 oder 3 über das Laden oder Entladen von Patronenhülsen oder des § 26 Abs. 4 über den höchstzulässigen Gasdruck zuwiderhandelt,</w:t>
      </w:r>
    </w:p>
    <w:p>
      <w:pPr>
        <w:ind w:left="420"/>
      </w:pPr>
      <w:r>
        <w:t xml:space="preserve">12. entgegen § 27 Abs. 1 Brückenzünder Klasse I oder Brückenanzünder A zum Sprengen verwendet oder entgegen § 27 Abs. 2 Brückenzünder Klasse I oder Brückenanzünder A unterschiedlicher Widerstandsgruppen in einer Lieferung einem anderen überläßt,</w:t>
      </w:r>
    </w:p>
    <w:p>
      <w:pPr>
        <w:ind w:left="420"/>
      </w:pPr>
      <w:r>
        <w:t xml:space="preserve">13. entgegen § 28 explosionsgefährliche Stoffe, die aus Fund- oder Lagermunition stammen, vertreibt, einem anderen überläßt oder verwendet oder</w:t>
      </w:r>
    </w:p>
    <w:p>
      <w:pPr>
        <w:ind w:left="420"/>
      </w:pPr>
      <w:r>
        <w:t xml:space="preserve">14. einer Vorschrift der §§ 41, 42 oder § 43 über das Verzeichnis nach § 16 oder § 28 des Gesetzes zuwiderhandelt.</w:t>
      </w:r>
    </w:p>
    <w:p>
      <w:r>
        <w:rPr>
          <w:color w:val="555555"/>
          <w:sz w:val="17"/>
        </w:rPr>
        <w:t xml:space="preserve">Zitiervorschlag: § 46 SprengV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https://recht.nulegal.eu/gesetze/SprengV%201/46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