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Führung des Verzeichnisses nach § 28 in Verbindung mit § 16 des Gesetzes sind die §§ 41 und 42 Abs. 1 und 2 mit folgender Maßgabe entsprechend anzuwenden:</w:t>
      </w:r>
    </w:p>
    <w:p>
      <w:pPr>
        <w:ind w:left="420"/>
      </w:pPr>
      <w:r>
        <w:t xml:space="preserve">1. anstelle der Angaben nach § 42 Abs. 1 Nr. 1 sind der Name und die Anschrift des Erlaubnisinhabers anzugeben,</w:t>
      </w:r>
    </w:p>
    <w:p>
      <w:pPr>
        <w:ind w:left="420"/>
      </w:pPr>
      <w:r>
        <w:t xml:space="preserve">2. anstelle der ausgegebenen Stoffe sind die entnommenen Stoffe einzutragen,</w:t>
      </w:r>
    </w:p>
    <w:p>
      <w:pPr>
        <w:ind w:left="420"/>
      </w:pPr>
      <w:r>
        <w:t xml:space="preserve">3. die Angaben nach § 42 Absatz 1 Nummer 5 können entfallen.</w:t>
      </w:r>
    </w:p>
    <w:p>
      <w:r>
        <w:rPr>
          <w:color w:val="555555"/>
          <w:sz w:val="17"/>
        </w:rPr>
        <w:t xml:space="preserve">Zitiervorschlag: § 43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SprengV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