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SprengV 1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7 bis 13, 20, 21, 22 Absatz 1 und 2, die §§ 23, 27 sowie § 28 des Gesetzes, soweit er sich auf § 22 Absatz 1 und 2 und § 23 bezieht, sind nicht anzuwenden auf das Aufbewahren, das Verwenden, das Vernichten, den Erwerb, den Vertrieb, das Verbringen und das Überlassen von pyrotechnischen Gegenständen der Kategorien 1, 2 (Feuerwerk), Kategorie T1 und – mit Ausnahme von Airbag- oder Gurtstraffereinheiten – der Kategorie P1, pyrotechnischen Sätzen der Kategorie S1 sowie von Raketenmotoren für die in § 1 Absatz 3 Nummer 2 bezeichneten Modellraketen. Satz 1 findet keine Anwendung auf pyrotechnische Gegenstände nach § 20 Absatz 4.</w:t>
      </w:r>
    </w:p>
    <w:p>
      <w:r>
        <w:t xml:space="preserve">(2) Die §§ 7 bis 13, 20, 21, 22 Absatz 1 und 2 sowie § 23 des Gesetzes sind im Rahmen einer gewerblichen Tätigkeit nicht anzuwenden auf das Aufbewahren, das Verwenden (Ein- und Ausbau), den Erwerb, den Vertrieb, das Verbringen und das Überlassen von Airbag- oder Gurtstraffereinheiten der Kategorie P1 sowie das Auslösen pyrotechnischer (Tarn-)Schutzsysteme in Kernkraftwerken durch Personal mit eingeschränkter Fachkunde (geschultes Personal). Das Personal hat auf Verlangen der zuständigen Behörde die eingeschränkte Fachkunde nachzuweisen. Satz 1 gilt auch für das Vernichten von Airbag- oder Gurtstraffereinheiten der Kategorie P1, wenn diese in einem Fahrzeug fest eingebaut sind.</w:t>
      </w:r>
    </w:p>
    <w:p>
      <w:r>
        <w:t xml:space="preserve">(3) Die §§ 7 bis 22 Abs. 2, die §§ 23, 27 und 28 des Gesetzes sind nicht anzuwenden auf das Aufbewahren, das Verwenden (bestimmungsgemäßes, automatisches Auslösen der Airbag- oder Gurtstraffereinheit des Fahrzeugs), den Erwerb, das Verbringen und das Überlassen von Airbag- oder Gurtstraffereinheiten der Kategorie P1, wenn diese in einem Fahrzeug oder Fahrzeugteilen fest eingebaut sind.</w:t>
      </w:r>
    </w:p>
    <w:p>
      <w:r>
        <w:t xml:space="preserve">(4) Auf das Aufbewahren, das Verwenden, das Vernichten, den Erwerb und das Verbringen von pyrotechnischen Gegenständen der Kategorie 3 sind § 8 Abs. 1 Nr. 2 Buchstabe a sowie § 27 Abs. 3 Nr. 1 des Gesetzes, soweit er sich auf § 8 Abs. 1 Nr. 2 Buchstabe a des Gesetzes bezieht, nicht anzuwenden.</w:t>
      </w:r>
    </w:p>
    <w:p>
      <w:r>
        <w:rPr>
          <w:color w:val="555555"/>
          <w:sz w:val="17"/>
        </w:rPr>
        <w:t xml:space="preserve">Zitiervorschlag: § 4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