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38 SprengV 1</w:t>
      </w:r>
    </w:p>
    <w:p>
      <w:r>
        <w:rPr>
          <w:color w:val="555555"/>
          <w:sz w:val="18"/>
        </w:rPr>
        <w:t xml:space="preserve">Erste Verordnung zum Sprengstoffgesetz</w:t>
      </w:r>
    </w:p>
    <w:p>
      <w:r>
        <w:rPr>
          <w:color w:val="555555"/>
          <w:sz w:val="18"/>
        </w:rPr>
        <w:t xml:space="preserve">Stand: 10.06.2019 (konsolidierte Textfassung, kein amtliches Inkrafttretensdatum)</w:t>
      </w:r>
    </w:p>
    <w:p>
      <w:r>
        <w:t xml:space="preserve">(1) Auf Ausländer, die Staatsangehörige eines Mitgliedstaates der Europäischen Union (EU) sind, ist § 8 Abs. 2 Nr. 1 des Gesetzes nicht anzuwenden. Dies gilt auch, soweit in § 20 Abs. 2 des Gesetzes auf diese Vorschrift verwiesen wird.</w:t>
      </w:r>
    </w:p>
    <w:p>
      <w:r>
        <w:t xml:space="preserve">(2) Auf Staatsangehörige eines Mitgliedstaates der EU, die in einem anderen Mitgliedstaat als der Bundesrepublik Deutschland ansässig sind, ist § 8 Abs. 2 Nr. 2 des Gesetzes nicht anzuwenden, soweit sie</w:t>
      </w:r>
    </w:p>
    <w:p>
      <w:pPr>
        <w:ind w:left="420"/>
      </w:pPr>
      <w:r>
        <w:t xml:space="preserve">1. explosionsgefährliche Stoffe außerhalb des Geltungsbereichs des Gesetzes herstellen, bearbeiten, verarbeiten, wiedergewinnen oder den Verkehr mit diesen Stoffen betreiben und diese Stoffe im Rahmen ihrer geschäftlichen Tätigkeit im Geltungsbereich des Gesetzes zu Personen verbringen oder von Personen in Empfang nehmen, die nach dem Gesetz oder nach dieser Verordnung zum Verkehr mit explosiongefährlichen Stoffen berechtigt sind,</w:t>
      </w:r>
    </w:p>
    <w:p>
      <w:pPr>
        <w:ind w:left="420"/>
      </w:pPr>
      <w:r>
        <w:t xml:space="preserve">2. explosionsgefährliche Stoffe im Geltungsbereich des Gesetzes verwenden oder vernichten, sie zu diesem Zweck erwerben oder zu der Stelle der Verwendung oder Vernichtung verbringen,</w:t>
      </w:r>
    </w:p>
    <w:p>
      <w:pPr>
        <w:ind w:left="420"/>
      </w:pPr>
      <w:r>
        <w:t xml:space="preserve">3. Bestellungen für explosionsgefährliche Stoffe bei Inhabern einer Erlaubnis nach § 7 Abs. 1 Nr. 1 und 2 des Gesetzes aufsuchen oder diesen den Erwerb, den Vertrieb oder das Überlassen solcher Stoffe vermitteln.</w:t>
      </w:r>
    </w:p>
    <w:p>
      <w:r>
        <w:t xml:space="preserve">(3) Absatz 2 ist entsprechend anzuwenden auf Gesellschaften, die nach den Rechtsvorschriften eines Mitgliedstaates der EU gegründet sind und ihren satzungsmäßigen Sitz, ihre Hauptverwaltung oder ihre Hauptniederlassung innerhalb der Union haben. Soweit diese Gesellschaften nur ihren satzungsmäßigen Sitz, jedoch weder ihre Hauptverwaltung noch ihre Hauptniederlassung innerhalb der Union haben, gilt Satz 1 nur, wenn ihre Tätigkeit in tatsächlicher und dauerhafter Verbindung mit der Wirtschaft eines Mitgliedstaates steht.</w:t>
      </w:r>
    </w:p>
    <w:p>
      <w:r>
        <w:t xml:space="preserve">(4) Die Vorschriften der Absätze 1 bis 3 zugunsten von Angehörigen der Mitgliedstaaten der EU sind nicht anzuwenden, soweit dies zur Beseitigung einer Störung der öffentlichen Sicherheit oder Ordnung oder zur Abwehr einer bevorstehenden Gefahr für die öffentliche Sicherheit oder Ordnung im Einzelfall erforderlich ist.</w:t>
      </w:r>
    </w:p>
    <w:p>
      <w:r>
        <w:rPr>
          <w:color w:val="555555"/>
          <w:sz w:val="17"/>
        </w:rPr>
        <w:t xml:space="preserve">Zitiervorschlag: § 38 SprengV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https://recht.nulegal.eu/gesetze/SprengV%201/38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38 SprengV 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