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SprengV 1</w:t>
      </w:r>
    </w:p>
    <w:p>
      <w:r>
        <w:rPr>
          <w:color w:val="555555"/>
          <w:sz w:val="18"/>
        </w:rPr>
        <w:t xml:space="preserve">Erste Verordnung zum Sprengstoffgesetz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§§ 32 und 33 sowie 34 Absatz 3 und 4, §§ 35 bis 36 gelten nicht für Lehrgänge für Personen aus Betrieben, die der Bergaufsicht unterliegen, wenn die Ausbildungspläne dieser Lehrgänge auf Grund bundes- und landesrechtlicher Vorschriften anerkannt sind. Insoweit gilt der Nachweis der Fachkunde für die Ausführung von Sprengarbeiten durch die erfolgreiche Teilnahme an einem solchen Lehrgang als erbracht.</w:t>
      </w:r>
    </w:p>
    <w:p>
      <w:r>
        <w:rPr>
          <w:color w:val="555555"/>
          <w:sz w:val="17"/>
        </w:rPr>
        <w:t xml:space="preserve">Zitiervorschlag: § 37 SprengV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https://recht.nulegal.eu/gesetze/SprengV%201/37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