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SprengV 1</w:t>
      </w:r>
    </w:p>
    <w:p>
      <w:r>
        <w:rPr>
          <w:color w:val="555555"/>
          <w:sz w:val="18"/>
        </w:rPr>
        <w:t xml:space="preserve">Erste Verordnung zum Sprengstoffgesetz</w:t>
      </w:r>
    </w:p>
    <w:p>
      <w:r>
        <w:rPr>
          <w:color w:val="555555"/>
          <w:sz w:val="18"/>
        </w:rPr>
        <w:t xml:space="preserve">Stand: 10.06.2019 (konsolidierte Textfassung, kein amtliches Inkrafttretensdatum)</w:t>
      </w:r>
    </w:p>
    <w:p>
      <w:r>
        <w:t xml:space="preserve">(1) Der Grundlehrgang ist mit einer theoretischen und einer praktischen Prüfung abzuschließen. Die Prüfung kann ganz oder teilweise auch zu einem späteren Zeitpunkt nachgeholt werden.</w:t>
      </w:r>
    </w:p>
    <w:p>
      <w:r>
        <w:t xml:space="preserve">(2) Die theoretische Prüfung besteht aus einem schriftlichen und einem mündlichen Teil. Werden in der schriftlichen Prüfung ausreichende Kenntnisse nachgewiesen, kann auf eine mündliche Prüfung verzichtet werden.</w:t>
      </w:r>
    </w:p>
    <w:p>
      <w:r>
        <w:t xml:space="preserve">(3) Die Prüfung ist vor einem Vertreter der zuständigen Behörde, in deren Bezirk der Lehrgang durchgeführt wird, in Anwesenheit eines Vertreters des Lehrgangsträgers abzulegen. Der Vertreter des Lehrgangsträgers ist berechtigt, Fragen zum Prüfungsstoff zu stellen. Wird die praktische Prüfung nachgeholt, so kann sie vor einem Vertreter der zuständigen Behörde allein abgelegt werden. § 31 Abs. 4 ist entsprechend anzuwenden.</w:t>
      </w:r>
    </w:p>
    <w:p>
      <w:r>
        <w:t xml:space="preserve">(4) Über das Prüfungsergebnis und den wesentlichen Inhalt der Prüfung ist eine Niederschrift aufzunehmen, die von dem Vertreter der zuständigen Behörde zu unterzeichnen ist.</w:t>
      </w:r>
    </w:p>
    <w:p>
      <w:r>
        <w:t xml:space="preserve">(5) Über die erfolgreiche Teilnahme an dem Lehrgang ist dem Bewerber ein Zeugnis zu erteilen, aus dem die Art der vermittelten Kenntnisse hervorgeht. Das Zeugnis ist von dem Vertreter der zuständigen Behörde zu unterzeichnen. Es soll auch von dem Vertreter des Lehrgangsträgers unterzeichnet werden. Im Falle einer nachträglichen Prüfung kann das Zeugnis vom Vertreter der zuständigen Behörde allein unterzeichnet werden.</w:t>
      </w:r>
    </w:p>
    <w:p>
      <w:r>
        <w:t xml:space="preserve">(6) Auf Sonderlehrgänge sind die Absätze 1 bis 5 entsprechend anzuwenden; von einer praktischen Prüfung kann in begründeten Ausnahmefällen abgesehen werden.</w:t>
      </w:r>
    </w:p>
    <w:p>
      <w:r>
        <w:t xml:space="preserve">(7) Für den Nachweis der Fachkunde durch Teilnahme an einem früheren Lehrgang gilt § 29 Abs. 2 entsprechend.</w:t>
      </w:r>
    </w:p>
    <w:p>
      <w:r>
        <w:rPr>
          <w:color w:val="555555"/>
          <w:sz w:val="17"/>
        </w:rPr>
        <w:t xml:space="preserve">Zitiervorschlag: § 36 SprengV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https://recht.nulegal.eu/gesetze/SprengV%201/36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