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SprengV 1</w:t>
      </w:r>
    </w:p>
    <w:p>
      <w:r>
        <w:rPr>
          <w:color w:val="555555"/>
          <w:sz w:val="18"/>
        </w:rPr>
        <w:t xml:space="preserve">Erste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Grundlehrgänge dürfen nur anerkannt werden, wenn</w:t>
      </w:r>
    </w:p>
    <w:p>
      <w:pPr>
        <w:ind w:left="420"/>
      </w:pPr>
      <w:r>
        <w:t xml:space="preserve">1. in einem theoretischen Teil ausreichende Kenntnisse vermittelt werden über</w:t>
      </w:r>
    </w:p>
    <w:p>
      <w:pPr>
        <w:ind w:left="780"/>
      </w:pPr>
      <w:r>
        <w:t xml:space="preserve">a) die Empfindlichkeit und die Wirkungsweise der gebräuchlichen explosionsgefährlichen Stoffe,</w:t>
      </w:r>
    </w:p>
    <w:p>
      <w:pPr>
        <w:ind w:left="780"/>
      </w:pPr>
      <w:r>
        <w:t xml:space="preserve">b) die unfallsichere Handhabung und Anwendung von explosionsgefährlichen Stoffen,</w:t>
      </w:r>
    </w:p>
    <w:p>
      <w:pPr>
        <w:ind w:left="780"/>
      </w:pPr>
      <w:r>
        <w:t xml:space="preserve">c) die Rechtsvorschriften über den Umgang und Verkehr mit explosionsgefährlichen Stoffen,</w:t>
      </w:r>
    </w:p>
    <w:p>
      <w:pPr>
        <w:ind w:left="420"/>
      </w:pPr>
      <w:r>
        <w:t xml:space="preserve">2. in einem praktischen Teil ausreichende Fertigkeiten in der unfallsicheren Handhabung und Anwendung explosionsgefährlicher Stoffe vermittelt werden.</w:t>
      </w:r>
    </w:p>
    <w:p>
      <w:r>
        <w:t xml:space="preserve">Der praktische Teil nach Nummer 2 kann bei Personen, die nur den Verkehr mit explosionsgefährlichen Stoffen betreiben wollen, entfallen.</w:t>
      </w:r>
    </w:p>
    <w:p>
      <w:r>
        <w:t xml:space="preserve">(2) Die Grundlehrgänge nach Absatz 1 dürfen ferner nur anerkannt werden, wenn</w:t>
      </w:r>
    </w:p>
    <w:p>
      <w:pPr>
        <w:ind w:left="420"/>
      </w:pPr>
      <w:r>
        <w:t xml:space="preserve">1. die Dauer des Lehrgangs eine ordnungsgemäße Vermittlung der erforderlichen Kenntnisse und Fertigkeiten gewährleistet,</w:t>
      </w:r>
    </w:p>
    <w:p>
      <w:pPr>
        <w:ind w:left="420"/>
      </w:pPr>
      <w:r>
        <w:t xml:space="preserve">2. die fachliche Leitung des Lehrgangs die für die ordnungsgemäße Durchführung der beabsichtigten Tätigkeiten erforderliche Ausbildung gewährleistet,</w:t>
      </w:r>
    </w:p>
    <w:p>
      <w:pPr>
        <w:ind w:left="420"/>
      </w:pPr>
      <w:r>
        <w:t xml:space="preserve">3. der Antragsteller die erforderliche Zuverlässigkeit für die Durchführung des Lehrgangs besitzt; dies gilt als erfüllt, wenn der Antragsteller Träger einer gesetzlichen Unfallversicherung ist,</w:t>
      </w:r>
    </w:p>
    <w:p>
      <w:pPr>
        <w:ind w:left="420"/>
      </w:pPr>
      <w:r>
        <w:t xml:space="preserve">4. der Abschluß einer angemessenen Haftpflichtversicherung zur Deckung von Schäden, die den Lehrgangsteilnehmern und Dritten bei der Durchführung des Lehrgangs entstehen, nachgewiesen worden ist.</w:t>
      </w:r>
    </w:p>
    <w:p>
      <w:r>
        <w:t xml:space="preserve">Ist eine Haftpflichtversicherung nach Satz 1 Nr. 4 nicht nachgewiesen, kann der Lehrgang mit der Auflage anerkannt werden, daß der Nachweis des Versicherungsschutzes vor der erstmaligen Durchführung des Lehrgangs erfolgen muß.</w:t>
      </w:r>
    </w:p>
    <w:p>
      <w:r>
        <w:t xml:space="preserve">(3) Die Absätze 1 und 2 sind auf Sonderlehrgänge, Absatz 2 ist auf Wiederholungslehrgänge entsprechend anzuwenden.</w:t>
      </w:r>
    </w:p>
    <w:p>
      <w:r>
        <w:rPr>
          <w:color w:val="555555"/>
          <w:sz w:val="17"/>
        </w:rPr>
        <w:t xml:space="preserve">Zitiervorschlag: § 33 SprengV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https://recht.nulegal.eu/gesetze/SprengV%201/33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