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SprengV 1</w:t>
      </w:r>
    </w:p>
    <w:p>
      <w:r>
        <w:rPr>
          <w:color w:val="555555"/>
          <w:sz w:val="18"/>
        </w:rPr>
        <w:t xml:space="preserve">Erste Verordnung zum Sprengstoffgesetz</w:t>
      </w:r>
    </w:p>
    <w:p>
      <w:r>
        <w:rPr>
          <w:color w:val="555555"/>
          <w:sz w:val="18"/>
        </w:rPr>
        <w:t xml:space="preserve">Stand: 10.06.2019 (konsolidierte Textfassung, kein amtliches Inkrafttretensdatum)</w:t>
      </w:r>
    </w:p>
    <w:p>
      <w:r>
        <w:t xml:space="preserve">(1) Die Prüfung ist mündlich abzulegen; es können zusätzlich schriftliche Prüfungsfragen gestellt werden. Zum Nachweis der Fachkunde für die Verwendung von pyrotechnischen Gegenständen, den Umgang mit Treibladungspulver für das nicht gewerbsmäßige Laden und Wiederladen von Patronenhülsen, zum Vorderladerschießen oder zum Böllerschießen ist außer der theoretischen in der Regel eine praktische Prüfung abzulegen.</w:t>
      </w:r>
    </w:p>
    <w:p>
      <w:r>
        <w:t xml:space="preserve">(2) Über den wesentlichen Inhalt und das Ergebnis der Prüfung ist eine Niederschrift aufzunehmen, die von dem Vertreter der zuständigen Behörde zu unterzeichnen ist.</w:t>
      </w:r>
    </w:p>
    <w:p>
      <w:r>
        <w:t xml:space="preserve">(3) Über die in der Prüfung nachgewiesene Fachkunde ist dem Bewerber ein Zeugnis auszustellen, das von dem Vertreter der zuständigen Behörde zu unterzeichnen ist. Das Zeugnis soll auch von der anderen sachverständigen Person unterzeichnet werden.</w:t>
      </w:r>
    </w:p>
    <w:p>
      <w:r>
        <w:t xml:space="preserve">(4) Besteht der Bewerber die Prüfung nicht, so kann die Prüfung höchstens zweimal wiederholt werden. Der Vertreter der zuständigen Behörde kann bestimmen, daß die Prüfung erst nach Ablauf einer bestimmten Frist wiederholt werden darf.</w:t>
      </w:r>
    </w:p>
    <w:p>
      <w:r>
        <w:rPr>
          <w:color w:val="555555"/>
          <w:sz w:val="17"/>
        </w:rPr>
        <w:t xml:space="preserve">Zitiervorschlag: § 31 SprengV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https://recht.nulegal.eu/gesetze/SprengV%201/31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SprengV 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