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SprengV 1</w:t>
      </w:r>
    </w:p>
    <w:p>
      <w:r>
        <w:rPr>
          <w:color w:val="555555"/>
          <w:sz w:val="18"/>
        </w:rPr>
        <w:t xml:space="preserve">Erste Verordnung zum Sprengstoffgesetz</w:t>
      </w:r>
    </w:p>
    <w:p>
      <w:r>
        <w:rPr>
          <w:color w:val="555555"/>
          <w:sz w:val="18"/>
        </w:rPr>
        <w:t xml:space="preserve">Stand: 10.06.2019 (konsolidierte Textfassung, kein amtliches Inkrafttretensdatum)</w:t>
      </w:r>
    </w:p>
    <w:p>
      <w:r>
        <w:t xml:space="preserve">(1) Explosionsgefährliche Stoffe dürfen nicht vertrieben, anderen überlassen oder verwendet werden, wenn sie ganz oder teilweise stammen aus</w:t>
      </w:r>
    </w:p>
    <w:p>
      <w:pPr>
        <w:ind w:left="420"/>
      </w:pPr>
      <w:r>
        <w:t xml:space="preserve">1. Fundmunition oder</w:t>
      </w:r>
    </w:p>
    <w:p>
      <w:pPr>
        <w:ind w:left="420"/>
      </w:pPr>
      <w:r>
        <w:t xml:space="preserve">2. Zündkörpern, Sonderkörpern mit explosionsgefährlichen Stoffen oder Treibladungspulver oder aus Festtreibstoffraketen, von Lagermunition oder</w:t>
      </w:r>
    </w:p>
    <w:p>
      <w:pPr>
        <w:ind w:left="420"/>
      </w:pPr>
      <w:r>
        <w:t xml:space="preserve">3. Lagermunition oder anderen als den in Nummer 2 genannten Gegenständen von Lagermunition, die</w:t>
      </w:r>
    </w:p>
    <w:p>
      <w:pPr>
        <w:ind w:left="780"/>
      </w:pPr>
      <w:r>
        <w:t xml:space="preserve">a) wegen ungenügender Lagerbeständigkeit ausgesondert war oder</w:t>
      </w:r>
    </w:p>
    <w:p>
      <w:pPr>
        <w:ind w:left="780"/>
      </w:pPr>
      <w:r>
        <w:t xml:space="preserve">b) außergewöhnlichen mechanischen, thermischen oder sonstigen Beanspruchungen unterworfen war, von denen anzunehmen ist, daß sie die Empfindlichkeit oder Beständigkeit der in der Munition enthaltenen Stoffe, insbesondere durch Einwirkung von Bränden oder Explosionen, verändert haben.</w:t>
      </w:r>
    </w:p>
    <w:p>
      <w:r>
        <w:t xml:space="preserve">(2) Das Verbot des Absatzes 1 gilt nicht für den Vertrieb und das Überlassen der in Absatz 1 genannten Gegenstände an Inhaber einer Erlaubnis nach § 7 des Gesetzes, die sich vertraglich zur Vernichtung oder zur Be- oder Verarbeitung dieser Gegenstände auch in nicht explosionsgefährliche Stoffe verpflichtet haben.</w:t>
      </w:r>
    </w:p>
    <w:p>
      <w:r>
        <w:rPr>
          <w:color w:val="555555"/>
          <w:sz w:val="17"/>
        </w:rPr>
        <w:t xml:space="preserve">Zitiervorschlag: § 28 SprengV 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https://recht.nulegal.eu/gesetze/SprengV%201/28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