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Explosivstoffe, pyrotechnische Gegenstände und sonstige explosionsgefährliche Stoffe nach § 1 Absatz 4 Nummer 1 des Sprengstoffgesetzes, deren Erwerb der Erlaubnis bedarf, dürfen einer anderen Person nur gegen Vorlage der Erlaubnis oder einer von der Erlaubnisbehörde erteilten weiteren Ausfertigung der Erlaubnis überlassen werden. Beim Überlassen von Explosivstoffen oder sonstigen explosionsgefährlichen Stoffen nach § 1 Absatz 4 Nummer 1 des Sprengstoffgesetzes an Inhaber einer Erlaubnis nach § 27 Absatz 1 des Sprengstoffgesetzes sind die folgenden Angaben in die Erlaubnis des Erwerbers einzutragen:</w:t>
      </w:r>
    </w:p>
    <w:p>
      <w:pPr>
        <w:ind w:left="420"/>
      </w:pPr>
      <w:r>
        <w:t xml:space="preserve">1. die Art und die Menge der Stoffe,</w:t>
      </w:r>
    </w:p>
    <w:p>
      <w:pPr>
        <w:ind w:left="420"/>
      </w:pPr>
      <w:r>
        <w:t xml:space="preserve">2. der Tag des Überlassens sowie</w:t>
      </w:r>
    </w:p>
    <w:p>
      <w:pPr>
        <w:ind w:left="420"/>
      </w:pPr>
      <w:r>
        <w:t xml:space="preserve">3. der Name und die Anschrift des Überlassers.</w:t>
      </w:r>
    </w:p>
    <w:p>
      <w:r>
        <w:t xml:space="preserve">(2) Die Grenzüberwachungsbehörden haben der für den Empfänger zuständigen Behörde jede Einfuhr von Explosivstoffen sowie die gewerbliche Einfuhr von pyrotechnischen Gegenständen unter Angabe der Bezeichnung, der Art und der Menge sowie unter Angabe des Namens des Absenders und des Empfängers unverzüglich schriftlich mitzuteilen.</w:t>
      </w:r>
    </w:p>
    <w:p>
      <w:r>
        <w:t xml:space="preserve">(3) Explosivstoffe, pyrotechnische Gegenstände und sonstige explosionsgefährliche Stoffe nach § 1 Absatz 4 Nummer 1 des Sprengstoffgesetzes, die nicht nach den §§ 14 bis 18 dieser Rechtsverordnung gekennzeichnet sind, dürfen den in § 1a Absatz 1 bis 5 des Sprengstoffgesetzes genannten Stellen auch überlassen werden, wenn die Notwendigkeit des Überlassens durch eine Bescheinigung der empfangenden Stelle nachgewiesen ist. Die in Satz 1 genannten Stellen haben durch geeignete Maßnahmen zu gewährleisten, dass die Explosivstoffe, pyrotechnischen Gegenstände und sonstigen explosionsgefährlichen Stoffe nach § 1 Absatz 4 Nummer 1 des Sprengstoffgesetzes nur an zum Umgang Berechtigte gelangen und der Verbleib der Explosivstoffe, pyrotechnischen Gegenstände und sonstigen explosionsgefährlichen Stoffe nach § 1 Absatz 4 Nummer 1 des Sprengstoffgesetzes auf Aufforderung nachgewiesen werden kann.</w:t>
      </w:r>
    </w:p>
    <w:p>
      <w:r>
        <w:rPr>
          <w:color w:val="555555"/>
          <w:sz w:val="17"/>
        </w:rPr>
        <w:t xml:space="preserve">Zitiervorschlag: § 25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