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(1) Pyrotechnische Gegenstände der Kategorie 2 dürfen dem Verbraucher im Jahr 2021 nicht und in anderen Jahren nur in der Zeit vom 29. bis 31. Dezember überlassen werden; ist einer der genannten Tage ein Sonntag, ist ein Überlassen bereits ab dem 28. Dezember zulässig. Satz 1 gilt nicht für Verbraucher, die eine Erlaubnis nach § 7 oder § 27 oder einen Befähigungsschein nach § 20 des Gesetzes oder eine Ausnahmegenehmigung nach § 24 Absatz 1 besitzen. Die Regelungen zu den Ladenöffnungszeiten der Länder bleiben unberührt.</w:t>
      </w:r>
    </w:p>
    <w:p>
      <w:r>
        <w:t xml:space="preserve">(2) Pyrotechnische Gegenstände der Kategorien F3 und F4, T2 und P2 sowie pyrotechnische Sätze der Kategorie S2 dürfen nur Personen überlassen werden, die auf Grund einer entsprechenden Erlaubnis nach § 7 oder § 27 oder eines entsprechenden Befähigungsscheines nach § 20 des Sprengstoffgesetzes oder auf Grund einer Bescheinigung nach § 22 Absatz 1a Satz 1 des Sprengstoffgesetzes zum Erwerb berechtigt sind und mit diesen Gegenständen umgehen dürfen.</w:t>
      </w:r>
    </w:p>
    <w:p>
      <w:r>
        <w:rPr>
          <w:color w:val="555555"/>
          <w:sz w:val="17"/>
        </w:rPr>
        <w:t xml:space="preserve">Zitiervorschlag: § 22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SprengV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