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SprengV 1</w:t>
      </w:r>
    </w:p>
    <w:p>
      <w:r>
        <w:rPr>
          <w:color w:val="555555"/>
          <w:sz w:val="18"/>
        </w:rPr>
        <w:t xml:space="preserve">Erste Verordnung zum Sprengstoffgesetz</w:t>
      </w:r>
    </w:p>
    <w:p>
      <w:r>
        <w:rPr>
          <w:color w:val="555555"/>
          <w:sz w:val="18"/>
        </w:rPr>
        <w:t xml:space="preserve">Stand: 10.06.2019 (konsolidierte Textfassung, kein amtliches Inkrafttretensdatum)</w:t>
      </w:r>
    </w:p>
    <w:p>
      <w:r>
        <w:t xml:space="preserve">(1) Der Umgang und Verkehr mit pyrotechnischen Gegenständen der einzelnen Kategorien ist Personen nur dann gestattet, wenn sie das folgende Lebensalter haben:</w:t>
      </w:r>
    </w:p>
    <w:p>
      <w:r>
        <w:rPr>
          <w:rFonts w:ascii="Courier New" w:hAnsi="Courier New"/>
          <w:sz w:val="17"/>
        </w:rPr>
        <w:t xml:space="preserve">Kategorie F1:    12 Jahre,</w:t>
      </w:r>
    </w:p>
    <w:p>
      <w:r>
        <w:rPr>
          <w:rFonts w:ascii="Courier New" w:hAnsi="Courier New"/>
          <w:sz w:val="17"/>
        </w:rPr>
        <w:t xml:space="preserve">Kategorie F2:    18 Jahre,</w:t>
      </w:r>
    </w:p>
    <w:p>
      <w:r>
        <w:rPr>
          <w:rFonts w:ascii="Courier New" w:hAnsi="Courier New"/>
          <w:sz w:val="17"/>
        </w:rPr>
        <w:t xml:space="preserve">Kategorie F3:    18 Jahre,</w:t>
      </w:r>
    </w:p>
    <w:p>
      <w:r>
        <w:rPr>
          <w:rFonts w:ascii="Courier New" w:hAnsi="Courier New"/>
          <w:sz w:val="17"/>
        </w:rPr>
        <w:t xml:space="preserve">Kategorie F4:    21 Jahre,</w:t>
      </w:r>
    </w:p>
    <w:p>
      <w:r>
        <w:rPr>
          <w:rFonts w:ascii="Courier New" w:hAnsi="Courier New"/>
          <w:sz w:val="17"/>
        </w:rPr>
        <w:t xml:space="preserve">Kategorie P1:    18 Jahre,</w:t>
      </w:r>
    </w:p>
    <w:p>
      <w:r>
        <w:rPr>
          <w:rFonts w:ascii="Courier New" w:hAnsi="Courier New"/>
          <w:sz w:val="17"/>
        </w:rPr>
        <w:t xml:space="preserve">Kategorie P2:    21 Jahre,</w:t>
      </w:r>
    </w:p>
    <w:p>
      <w:r>
        <w:rPr>
          <w:rFonts w:ascii="Courier New" w:hAnsi="Courier New"/>
          <w:sz w:val="17"/>
        </w:rPr>
        <w:t xml:space="preserve">Kategorie T1:    18 Jahre,</w:t>
      </w:r>
    </w:p>
    <w:p>
      <w:r>
        <w:rPr>
          <w:rFonts w:ascii="Courier New" w:hAnsi="Courier New"/>
          <w:sz w:val="17"/>
        </w:rPr>
        <w:t xml:space="preserve">Kategorie T2:    21 Jahre.</w:t>
      </w:r>
    </w:p>
    <w:p>
      <w:r>
        <w:t xml:space="preserve">(2) Abweichend von Absatz 1 dürfen pyrotechnische Gegenstände der Kategorie P1, die Rettungsmittel oder Bestandteil von Schutzausrüstungen oder Rettungsmitteln sind, Personen, die das 14. Lebensjahr vollendet haben, überlassen und von diesen Personen bestimmungsgemäß verwendet werden, sofern die Bundesanstalt für Materialforschung und -prüfung dies auf Antrag des Herstellers oder Einführers für die jeweilige Bauart genehmigt hat und die Personen an einer Einweisung zum sicheren Umgang mit diesen Gegenständen teilnehmen oder teilgenommen haben. Die Genehmigung wird für die Bauart erteilt, wenn der Schutz der öffentlichen Sicherheit dem nicht entgegensteht. Der Überlasser der pyrotechnischen Gegenstände ist verpflichtet, das Vorliegen der Voraussetzungen des Satzes 1 vor dem Überlassen zu überprüfen.</w:t>
      </w:r>
    </w:p>
    <w:p>
      <w:r>
        <w:t xml:space="preserve">(3) Ein Erlaubnisinhaber nach § 7 oder § 27 des Sprengstoffgesetzes oder eine verantwortliche Person nach § 20 des Sprengstoffgesetzes mit der Befähigung zum Abbrennen pyrotechnischer Gegenstände für Bühne und Theater der Kategorie T2 darf pyrotechnische Gegenstände, die als pyrotechnischer Gegenstand für Bühne und Theater der Kategorie T1 oder als pyrotechnischer Gegenstand für Bühne und Theater der Kategorie T1 mit der Angabe „nur zur Verwendung im Freien“ gekennzeichnet sind, in einer von der Kennzeichnung oder der Gebrauchsanleitung abweichenden Art und Weise verwenden, wenn er dabei die mit diesem Gebrauch verbundenen Gefahren gebührend berücksichtigt.</w:t>
      </w:r>
    </w:p>
    <w:p>
      <w:r>
        <w:t xml:space="preserve">(4) Folgende pyrotechnische Gegenstände der Kategorie F2 dürfen nur an Erlaubnisinhaber nach § 7 Absatz 1 oder § 27 Absatz 1 oder Befähigungsscheininhaber nach § 20 Absatz 1 Satz 1 des Sprengstoffgesetzes vertrieben und überlassen oder von diesen verwendet werden:</w:t>
      </w:r>
    </w:p>
    <w:p>
      <w:pPr>
        <w:ind w:left="420"/>
      </w:pPr>
      <w:r>
        <w:t xml:space="preserve">1. Knallkörper und Knallkörperbatterien mit Blitzknallsatz,</w:t>
      </w:r>
    </w:p>
    <w:p>
      <w:pPr>
        <w:ind w:left="420"/>
      </w:pPr>
      <w:r>
        <w:t xml:space="preserve">2. Raketen mit mehr als 20 g Netto-Explosivstoffmasse,</w:t>
      </w:r>
    </w:p>
    <w:p>
      <w:pPr>
        <w:ind w:left="420"/>
      </w:pPr>
      <w:r>
        <w:t xml:space="preserve">3. Schwärmer und</w:t>
      </w:r>
    </w:p>
    <w:p>
      <w:pPr>
        <w:ind w:left="420"/>
      </w:pPr>
      <w:r>
        <w:t xml:space="preserve">4. pyrotechnische Gegenstände mit Pfeifsatz als Einzelgegenstand.</w:t>
      </w:r>
    </w:p>
    <w:p>
      <w:r>
        <w:t xml:space="preserve">Satz 1 gilt nicht für das Verbringen aus dem Geltungsbereich des Sprengstoffgesetzes.</w:t>
      </w:r>
    </w:p>
    <w:p>
      <w:r>
        <w:rPr>
          <w:color w:val="555555"/>
          <w:sz w:val="17"/>
        </w:rPr>
        <w:t xml:space="preserve">Zitiervorschlag: § 20 SprengV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https://recht.nulegal.eu/gesetze/SprengV%201/20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SprengV 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