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Die Bundesanstalt kann auf Antrag des Herstellers, seines in einem Mitgliedstaat ansässigen Bevollmächtigten oder des Einführers Ausnahmen von den Vorschriften über die Kennzeichnung und Verpackung explosionsgefährlicher Stoffe und von Sprengzubehör allgemein zulassen, soweit der Schutz von Leben, Gesundheit und Sachgütern Beschäftigter oder Dritter dies zuläßt.</w:t>
      </w:r>
    </w:p>
    <w:p>
      <w:r>
        <w:t xml:space="preserve">(2) Die zuständige Behörde kann im Einzelfall von den Kennzeichnungs- und Verpackungsvorschriften der §§ 17 und 18 sowie § 18b Nummer 1 und 2 Ausnahmen bewilligen, soweit der mit diesen Vorschriften bezweckte Schutz von Leben, Gesundheit oder Sachgütern Beschäftigter oder Dritter in anderer Weise gewährleistet ist.</w:t>
      </w:r>
    </w:p>
    <w:p>
      <w:r>
        <w:t xml:space="preserve">(3) (weggefallen)</w:t>
      </w:r>
    </w:p>
    <w:p>
      <w:r>
        <w:rPr>
          <w:color w:val="555555"/>
          <w:sz w:val="17"/>
        </w:rPr>
        <w:t xml:space="preserve">Zitiervorschlag: § 19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