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Explosivstoffe auf dem Markt bereitstellt, für die gemäß Artikel 15 der Richtlinie 2014/28/EU, auch in Verbindung mit der Richtlinie 2008/43/EG der Kommission vom 4. April 2008 zur Einführung eines Verfahrens zur Kennzeichnung und Rückverfolgung von Explosivstoffen für zivile Zwecke gemäß der Richtlinie 93/15/EWG des Rates (ABl. L 94 vom 5.4.2008, S. 8), die durch die Richtlinie 2012/4/EU (ABl. L 50 vom 23.2.2012, S. 18) geändert worden ist, ein System der eindeutigen Identifizierung und Rückverfolgbarkeit bestehen muss, hat diese Explosivstoffe und deren kleinste Verpackungseinheit mit einer dem Anhang der Richtlinie 2008/43/EG entsprechenden eindeutigen Kennzeichnung zu versehen, die Folgendes enthalten muss:</w:t>
      </w:r>
    </w:p>
    <w:p>
      <w:pPr>
        <w:ind w:left="420"/>
      </w:pPr>
      <w:r>
        <w:t xml:space="preserve">1. den Namen des Herstellers,</w:t>
      </w:r>
    </w:p>
    <w:p>
      <w:pPr>
        <w:ind w:left="420"/>
      </w:pPr>
      <w:r>
        <w:t xml:space="preserve">2. einen alphanumerischen Code und</w:t>
      </w:r>
    </w:p>
    <w:p>
      <w:pPr>
        <w:ind w:left="420"/>
      </w:pPr>
      <w:r>
        <w:t xml:space="preserve">3. eine elektronisch lesbare Variante des Codes mit gleichem Inhalt.</w:t>
      </w:r>
    </w:p>
    <w:p>
      <w:r>
        <w:t xml:space="preserve">(2) Hersteller oder Einführer im Geltungsbereich des Sprengstoffgesetzes haben bei der Kennzeichnung nach Absatz 1 als Landeskennzeichen die Buchstabenfolge „DE“ zu verwenden. Die Kennnummer der Herstellungsstätte oder des Einführers wird ihnen auf schriftlichen oder elektronischen Antrag von der Bundesanstalt für Materialforschung und -prüfung zugeteilt.</w:t>
      </w:r>
    </w:p>
    <w:p>
      <w:r>
        <w:t xml:space="preserve">(3) Der Hersteller oder der Einführer darf den Explosivstoffen selbstklebende Kopien der Kennzeichnungsetiketten zur Nutzung durch den Empfänger beifügen. Diese Kopien sind sichtbar als solche zu markieren.</w:t>
      </w:r>
    </w:p>
    <w:p>
      <w:r>
        <w:t xml:space="preserve">(4) Falls es aufgrund der Größe, der Form oder des Designs eines Explosivstoffes technisch nicht möglich ist, eine eindeutige Kennzeichnung nach Absatz 1 auf dem Explosivstoff anzubringen, hat der Hersteller oder Einführer den Explosivstoff nach Nummer 3 des Anhangs der Richtlinie 2008/43/EG zu kennzeichnen.</w:t>
      </w:r>
    </w:p>
    <w:p>
      <w:r>
        <w:t xml:space="preserve">(5) Explosivstoffe, für die keine Kennzeichnungspflicht nach Absatz 1 besteht, muss der Hersteller oder Einführer mit einer Typen-, Chargen- oder Seriennummer oder einem anderen Kennzeichen zu ihrer Identifizierung kennzeichnen.</w:t>
      </w:r>
    </w:p>
    <w:p>
      <w:r>
        <w:t xml:space="preserve">(6) Bei elektrischen Zündmitteln, die den Anforderungen der Anlage 2 genügen, muss der Hersteller oder der Einführer den Zündertyp, anderenfalls die elektrischen Daten zur Empfindlichkeit, auf der kleinsten Verpackungseinheit angeben. Bei elektrischen Zündmitteln, die den Anforderungen der Anlage 2 genügen, muss der Hersteller oder der Einführer zusätzlich den Zündertyp auf dem elektrischen Zündmittel kennzeichnen.</w:t>
      </w:r>
    </w:p>
    <w:p>
      <w:r>
        <w:t xml:space="preserve">(7) Wer Explosivstoffe herstellt, einführt oder verbringt, darf diese anderen Personen nur überlassen, wenn sie oder ihre Verpackung zusätzlich zu den Kennzeichnungselementen nach den Absätzen 1 bis 5 mit folgenden Angaben und Kennzeichnungen versehen sind:</w:t>
      </w:r>
    </w:p>
    <w:p>
      <w:pPr>
        <w:ind w:left="420"/>
      </w:pPr>
      <w:r>
        <w:t xml:space="preserve">1. die Nettoexplosivstoffmasse,</w:t>
      </w:r>
    </w:p>
    <w:p>
      <w:pPr>
        <w:ind w:left="420"/>
      </w:pPr>
      <w:r>
        <w:t xml:space="preserve">2. die Jahres- und die Monatszahl sowie gegebenenfalls die Jahreswochenzahl der Herstellung,</w:t>
      </w:r>
    </w:p>
    <w:p>
      <w:pPr>
        <w:ind w:left="420"/>
      </w:pPr>
      <w:r>
        <w:t xml:space="preserve">3. die Farbgebung der Explosivstoffe oder deren Umhüllung zur Vermeidung sicherheitstechnisch relevanter Verwechselungsgefahren,</w:t>
      </w:r>
    </w:p>
    <w:p>
      <w:pPr>
        <w:ind w:left="420"/>
      </w:pPr>
      <w:r>
        <w:t xml:space="preserve">4. die Informationen zur Schlagwettersicherheit,</w:t>
      </w:r>
    </w:p>
    <w:p>
      <w:pPr>
        <w:ind w:left="420"/>
      </w:pPr>
      <w:r>
        <w:t xml:space="preserve">5. bei Sprengschnüren: die Länge der Schnur und den Kennfaden für die Herstellungsstätte,</w:t>
      </w:r>
    </w:p>
    <w:p>
      <w:pPr>
        <w:ind w:left="420"/>
      </w:pPr>
      <w:r>
        <w:t xml:space="preserve">6. bei Zündmitteln:</w:t>
      </w:r>
    </w:p>
    <w:p>
      <w:pPr>
        <w:ind w:left="780"/>
      </w:pPr>
      <w:r>
        <w:t xml:space="preserve">a) die Anzahl der Zündmittel in der jeweiligen Verpackung,</w:t>
      </w:r>
    </w:p>
    <w:p>
      <w:pPr>
        <w:ind w:left="780"/>
      </w:pPr>
      <w:r>
        <w:t xml:space="preserve">b) bei Zeitzündern die Angabe der Verzögerungszeit oder der Zeitstufe,</w:t>
      </w:r>
    </w:p>
    <w:p>
      <w:pPr>
        <w:ind w:left="780"/>
      </w:pPr>
      <w:r>
        <w:t xml:space="preserve">c) die Länge und das Material der Zünderdrähte oder die Länge des Zündschlauches,</w:t>
      </w:r>
    </w:p>
    <w:p>
      <w:pPr>
        <w:ind w:left="780"/>
      </w:pPr>
      <w:r>
        <w:t xml:space="preserve">d) die Farbgebung der Zünderdrahtisolierung, die zur Unterscheidung des Zündertyps und des Anwendungsbereichs verwendet wird.</w:t>
      </w:r>
    </w:p>
    <w:p>
      <w:r>
        <w:t xml:space="preserve">(8) Die CE-Kennzeichnung muss bei den folgenden Explosivstoffen auf den beigefügten Unterlagen angebracht werden:</w:t>
      </w:r>
    </w:p>
    <w:p>
      <w:pPr>
        <w:ind w:left="420"/>
      </w:pPr>
      <w:r>
        <w:t xml:space="preserve">1. Explosivstoffe, die für den Eigengebrauch hergestellt werden,</w:t>
      </w:r>
    </w:p>
    <w:p>
      <w:pPr>
        <w:ind w:left="420"/>
      </w:pPr>
      <w:r>
        <w:t xml:space="preserve">2. Explosivstoffe, die in Silo- oder Pumpfahrzeugen befördert und in ein innerbetriebliches Lager geliefert oder direkt in Sprengbohrlöcher geladen werden, und</w:t>
      </w:r>
    </w:p>
    <w:p>
      <w:pPr>
        <w:ind w:left="420"/>
      </w:pPr>
      <w:r>
        <w:t xml:space="preserve">3. Explosivstoffe, die am Sprengort hergestellt und danach sofort geladen werden.</w:t>
      </w:r>
    </w:p>
    <w:p>
      <w:r>
        <w:rPr>
          <w:color w:val="555555"/>
          <w:sz w:val="17"/>
        </w:rPr>
        <w:t xml:space="preserve">Zitiervorschlag: § 17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SprengV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