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SprengV 1</w:t>
      </w:r>
    </w:p>
    <w:p>
      <w:r>
        <w:rPr>
          <w:color w:val="555555"/>
          <w:sz w:val="18"/>
        </w:rPr>
        <w:t xml:space="preserve">Erste Verordnung zum Sprengstoffgesetz</w:t>
      </w:r>
    </w:p>
    <w:p>
      <w:r>
        <w:rPr>
          <w:color w:val="555555"/>
          <w:sz w:val="18"/>
        </w:rPr>
        <w:t xml:space="preserve">Stand: 10.06.2019 (konsolidierte Textfassung, kein amtliches Inkrafttretensdatum)</w:t>
      </w:r>
    </w:p>
    <w:p>
      <w:r>
        <w:t xml:space="preserve">(1) Auf dem Explosivstoff oder dem pyrotechnischen Gegenstand dürfen keine Zeichen angebracht werden, die mit der CE-Kennzeichnung nach Artikel 30 Absatz 2 der 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 verwechselt werden können.</w:t>
      </w:r>
    </w:p>
    <w:p>
      <w:r>
        <w:t xml:space="preserve">(2) Unterliegt der Explosivstoff oder der pyrotechnische Gegenstand auch anderen zwingenden Vorschriften des Rechts der Europäischen Union, so darf die CE-Kennzeichnung nur angebracht werden, wenn der Explosivstoff oder pyrotechnische Gegenstand auch diesen Vorschriften entspricht.</w:t>
      </w:r>
    </w:p>
    <w:p>
      <w:r>
        <w:t xml:space="preserve">(3) Wird ein geprüfter Explosivstoff oder pyrotechnischer Gegenstand für nicht konform befunden und kann er nicht in einen konformen Zustand versetzt werden, ist er deutlich lesbar als nicht konform zu kennzeichnen.</w:t>
      </w:r>
    </w:p>
    <w:p>
      <w:r>
        <w:t xml:space="preserve">(4) Alle Angaben und Kennzeichnungen, Gebrauchsanleitungen und Sicherheitsinformationen müssen klar, verständlich, deutlich lesbar und dauerhaft sein. Sie müssen, wenn nicht anderes bestimmt ist, in deutscher Sprache abgefasst sein.</w:t>
      </w:r>
    </w:p>
    <w:p>
      <w:r>
        <w:t xml:space="preserve">(5) Die Angaben und Kennzeichnungen nach diesem Abschnitt sind auf dem Explosivstoff oder dem pyrotechnischen Gegenstand anzubringen. Ist dies aufgrund der Größe, der Form oder des Designs nicht möglich, sind die Angaben und Kennzeichnungen auf der kleinsten Verpackungseinheit oder in den dem Explosivstoff oder dem pyrotechnischen Gegenstand beigefügten Unterlagen anzubringen.</w:t>
      </w:r>
    </w:p>
    <w:p>
      <w:r>
        <w:t xml:space="preserve">(6) Die Kennzeichnungsvorschriften dieses Abschnitts gelten für das Versandstück als erfüllt, wenn es nach den verkehrsrechtlichen Vorschriften gekennzeichnet ist. Ist die Verpackung des Versandstückes die einzige Verpackung, so muss diese nach den Kennzeichnungsvorschriften dieses Abschnitts gekennzeichnet sein.</w:t>
      </w:r>
    </w:p>
    <w:p>
      <w:r>
        <w:rPr>
          <w:color w:val="555555"/>
          <w:sz w:val="17"/>
        </w:rPr>
        <w:t xml:space="preserve">Zitiervorschlag: § 16 SprengV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https://recht.nulegal.eu/gesetze/SprengV%201/16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SprengV 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