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hat in dem Antrag auf Zulassung anzugeben</w:t>
      </w:r>
    </w:p>
    <w:p>
      <w:pPr>
        <w:ind w:left="420"/>
      </w:pPr>
      <w:r>
        <w:t xml:space="preserve">1. die Bezeichnung des sonstigen explosionsgefährlichen Stoffes oder des Sprengzubehörs,</w:t>
      </w:r>
    </w:p>
    <w:p>
      <w:pPr>
        <w:ind w:left="420"/>
      </w:pPr>
      <w:r>
        <w:t xml:space="preserve">2. den Namen (Firma) und die Anschrift des Herstellers sowie die Herstellungsstätte, bei der Einfuhr außerdem den Namen (Firma) und die Anschrift dessen, der die Stoffe oder Gegenstände einführt,</w:t>
      </w:r>
    </w:p>
    <w:p>
      <w:pPr>
        <w:ind w:left="420"/>
      </w:pPr>
      <w:r>
        <w:t xml:space="preserve">3. die Beschaffenheit des Stoffes oder Gegenstandes, seine chemische Zusammensetzung des sonstigen explosionsgefährlichen Stoffes, seine physikalischen Eigenschaften, seine Bauart, seinen Verwendungszweck sowie seine Anwendungs- und Wirkungsweise; kann die chemische Zusammensetzung des sonstigen explosionsgefährlichen Stoffes nicht mit ausreichender Genauigkeit angegeben werden, so ist dieser Stoff durch Angaben über sein Herstellungsverfahren zu charakterisieren.</w:t>
      </w:r>
    </w:p>
    <w:p>
      <w:r>
        <w:t xml:space="preserve">(2) Der Antragsteller hat der für die Prüfung nach § 9 Abs. 3 zuständigen Stelle</w:t>
      </w:r>
    </w:p>
    <w:p>
      <w:pPr>
        <w:ind w:left="420"/>
      </w:pPr>
      <w:r>
        <w:t xml:space="preserve">1. Proben oder Muster des Stoffes oder Gegenstandes und eines Vergleichsstoffes oder -gegenstandes in einer zur Prüfung ausreichenden Menge oder Zahl zu übersenden,</w:t>
      </w:r>
    </w:p>
    <w:p>
      <w:pPr>
        <w:ind w:left="420"/>
      </w:pPr>
      <w:r>
        <w:t xml:space="preserve">2. auf Verlangen die erforderlichen Belegmuster zum Verbleib zu überlassen.</w:t>
      </w:r>
    </w:p>
    <w:p>
      <w:r>
        <w:t xml:space="preserve">(3) Die Bundesanstalt für Materialforschung und -prüfung kann das Ergebnis der Prüfung dem nach § 6 Abs. 2 des Gesetzes gebildeten Sachverständigenausschuß für explosionsgefährliche Stoffe zur Stellungnahme vorlegen, wenn zweifelhaft ist, ob bei Erteilung der Zulassung der Schutz von Leben, Gesundheit oder Sachgütern Beschäftigter oder Dritter gewährleistet ist.</w:t>
      </w:r>
    </w:p>
    <w:p>
      <w:r>
        <w:rPr>
          <w:color w:val="555555"/>
          <w:sz w:val="17"/>
        </w:rPr>
        <w:t xml:space="preserve">Zitiervorschlag: § 10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