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5d SprengG 1976 — Aufbewahrungspflicht</w:t>
      </w:r>
    </w:p>
    <w:p>
      <w:r>
        <w:rPr>
          <w:color w:val="555555"/>
          <w:sz w:val="18"/>
        </w:rPr>
        <w:t xml:space="preserve">Sprengstoffgesetz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Hersteller und der Bevollmächtigte haben die folgenden Unterlagen zehn Jahre lang nach der letzten Herstellung des Produkts aufzubewahren und der zuständigen Behörde auf deren Verlangen jederzeit vorzulegen:</w:t>
      </w:r>
    </w:p>
    <w:p>
      <w:pPr>
        <w:ind w:left="420"/>
      </w:pPr>
      <w:r>
        <w:t xml:space="preserve">1. die EU-Konformitätserklärung,</w:t>
      </w:r>
    </w:p>
    <w:p>
      <w:pPr>
        <w:ind w:left="420"/>
      </w:pPr>
      <w:r>
        <w:t xml:space="preserve">2. die EU-Baumusterprüfbescheinigung einschließlich Nachträgen und Nebenbestimmungen,</w:t>
      </w:r>
    </w:p>
    <w:p>
      <w:pPr>
        <w:ind w:left="420"/>
      </w:pPr>
      <w:r>
        <w:t xml:space="preserve">3. die Unterlagen über das zugelassene Qualitätssicherungssystem,</w:t>
      </w:r>
    </w:p>
    <w:p>
      <w:pPr>
        <w:ind w:left="420"/>
      </w:pPr>
      <w:r>
        <w:t xml:space="preserve">4. die Entscheidung über die Bewertung dieses Qualitätssicherungssystems und</w:t>
      </w:r>
    </w:p>
    <w:p>
      <w:pPr>
        <w:ind w:left="420"/>
      </w:pPr>
      <w:r>
        <w:t xml:space="preserve">5. die Berichte über die Nachprüfungen.</w:t>
      </w:r>
    </w:p>
    <w:p>
      <w:r>
        <w:rPr>
          <w:color w:val="555555"/>
          <w:sz w:val="17"/>
        </w:rPr>
        <w:t xml:space="preserve">Zitiervorschlag: § 5d SprengG 1976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https://recht.nulegal.eu/gesetze/SprengG%201976/5d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