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5c SprengG 1976 — Konformitätsbewertung für Explosivstoffe und pyrotechnische Gegenstände in der Serienfertigung; Qualitätssicherungsverfahren; CE-Kennzeichnung</w:t>
      </w:r>
    </w:p>
    <w:p>
      <w:r>
        <w:rPr>
          <w:color w:val="555555"/>
          <w:sz w:val="18"/>
        </w:rPr>
        <w:t xml:space="preserve">Sprengstoffgesetz</w:t>
      </w:r>
    </w:p>
    <w:p>
      <w:r>
        <w:rPr>
          <w:color w:val="555555"/>
          <w:sz w:val="18"/>
        </w:rPr>
        <w:t xml:space="preserve">Stand: 10.06.2019 (konsolidierte Textfassung, kein amtliches Inkrafttretensdatum)</w:t>
      </w:r>
    </w:p>
    <w:p>
      <w:r>
        <w:t xml:space="preserve">(1) Die Übereinstimmung der nach einem Baumuster gefertigten Explosivstoffe oder pyrotechnischen Gegenstände mit dem Baumuster ist auf Antrag des Herstellers in einem Qualitätssicherungsverfahren nachzuweisen, das nach der Wahl des Herstellers durchzuführen ist für</w:t>
      </w:r>
    </w:p>
    <w:p>
      <w:pPr>
        <w:ind w:left="420"/>
      </w:pPr>
      <w:r>
        <w:t xml:space="preserve">1. Explosivstoffe nach den Modulen C2, D, E oder F des Anhangs III der Richtlinie 2014/28/EU und</w:t>
      </w:r>
    </w:p>
    <w:p>
      <w:pPr>
        <w:ind w:left="420"/>
      </w:pPr>
      <w:r>
        <w:t xml:space="preserve">2. pyrotechnische Gegenstände nach den Modulen C2, D oder E des Anhangs II der Richtlinie 2013/29/EU.</w:t>
      </w:r>
    </w:p>
    <w:p>
      <w:r>
        <w:t xml:space="preserve">Der Hersteller hat den Antrag schriftlich oder elektronisch zu stellen.</w:t>
      </w:r>
    </w:p>
    <w:p>
      <w:r>
        <w:t xml:space="preserve">(2) Der Hersteller kann die Übereinstimmung von pyrotechnischen Gegenständen der Kategorie F4 mit dem Baumuster auch in einem Qualitätssicherungsverfahren nach Modul H der Richtlinie 2013/29/EU nachweisen.</w:t>
      </w:r>
    </w:p>
    <w:p>
      <w:r>
        <w:t xml:space="preserve">(3) Wird im Qualitätssicherungsverfahren die Übereinstimmung der nach dem Baumuster gefertigten Explosivstoffe oder pyrotechnischen Gegenstände mit dem Baumuster festgestellt,</w:t>
      </w:r>
    </w:p>
    <w:p>
      <w:pPr>
        <w:ind w:left="420"/>
      </w:pPr>
      <w:r>
        <w:t xml:space="preserve">1. bringt der Hersteller die CE-Kennzeichnung auf den Explosivstoffen oder den pyrotechnischen Gegenständen an und</w:t>
      </w:r>
    </w:p>
    <w:p>
      <w:pPr>
        <w:ind w:left="420"/>
      </w:pPr>
      <w:r>
        <w:t xml:space="preserve">2. stellt der Hersteller Folgendes aus:</w:t>
      </w:r>
    </w:p>
    <w:p>
      <w:pPr>
        <w:ind w:left="780"/>
      </w:pPr>
      <w:r>
        <w:t xml:space="preserve">a) für Explosivstoffe eine EU-Konformitätserklärung nach Anhang IV der Richtlinie 2014/28/EU und</w:t>
      </w:r>
    </w:p>
    <w:p>
      <w:pPr>
        <w:ind w:left="780"/>
      </w:pPr>
      <w:r>
        <w:t xml:space="preserve">b) für pyrotechnische Gegenstände eine EU-Konformitätserklärung nach Anhang III der Richtlinie 2013/29/EU.</w:t>
      </w:r>
    </w:p>
    <w:p>
      <w:r>
        <w:t xml:space="preserve">Ist es nicht möglich, die CE-Kennzeichnung auf den Explosivstoffen oder pyrotechnischen Gegenständen anzubringen, muss sie auf der Verpackung angebracht werden. Das Nähere regelt eine Rechtsverordnung nach § 6 Absatz 1.</w:t>
      </w:r>
    </w:p>
    <w:p>
      <w:r>
        <w:rPr>
          <w:color w:val="555555"/>
          <w:sz w:val="17"/>
        </w:rPr>
        <w:t xml:space="preserve">Zitiervorschlag: § 5c SprengG 1976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https://recht.nulegal.eu/gesetze/SprengG%201976/5c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