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5a SprengG 1976 — Ausnahmen vom Erfordernis des Konformitätsnachweises und der CE-Kennzeichnung</w:t>
      </w:r>
    </w:p>
    <w:p>
      <w:r>
        <w:rPr>
          <w:color w:val="555555"/>
          <w:sz w:val="18"/>
        </w:rPr>
        <w:t xml:space="preserve">Sprengstoffgesetz</w:t>
      </w:r>
    </w:p>
    <w:p>
      <w:r>
        <w:rPr>
          <w:color w:val="555555"/>
          <w:sz w:val="18"/>
        </w:rPr>
        <w:t xml:space="preserve">Stand: 10.06.2019 (konsolidierte Textfassung, kein amtliches Inkrafttretensdatum)</w:t>
      </w:r>
    </w:p>
    <w:p>
      <w:r>
        <w:t xml:space="preserve">(1) § 5 Absatz 1 und 1a ist nicht anzuwenden auf</w:t>
      </w:r>
    </w:p>
    <w:p>
      <w:pPr>
        <w:ind w:left="420"/>
      </w:pPr>
      <w:r>
        <w:t xml:space="preserve">1. Explosivstoffe und pyrotechnische Gegenstände, die den von der jeweils zuständigen Stelle erlassenen technischen Lieferbedingungen entsprechen, soweit diese den Schutz von Leben und Gesundheit oder Sachgütern betreffen, und</w:t>
      </w:r>
    </w:p>
    <w:p>
      <w:pPr>
        <w:ind w:left="780"/>
      </w:pPr>
      <w:r>
        <w:t xml:space="preserve">a) nur für militärische oder polizeiliche Zwecke hergestellt, wiedergewonnen, bearbeitet, verarbeitet, eingeführt oder verbracht werden oder</w:t>
      </w:r>
    </w:p>
    <w:p>
      <w:pPr>
        <w:ind w:left="780"/>
      </w:pPr>
      <w:r>
        <w:t xml:space="preserve">b) an eine militärische oder polizeiliche Dienststelle oder eine Dienststelle des Katastrophenschutzes vertrieben oder einer dieser Dienststellen überlassen werden,</w:t>
      </w:r>
    </w:p>
    <w:p>
      <w:pPr>
        <w:ind w:left="420"/>
      </w:pPr>
      <w:r>
        <w:t xml:space="preserve">2. Explosivstoffe und pyrotechnische Gegenstände, die</w:t>
      </w:r>
    </w:p>
    <w:p>
      <w:pPr>
        <w:ind w:left="780"/>
      </w:pPr>
      <w:r>
        <w:t xml:space="preserve">a) der Versender ausgeführt hat und die er unverändert in der versandmäßigen Verpackung zurückbekommen hat, wobei diese Voraussetzungen nachzuweisen sind,</w:t>
      </w:r>
    </w:p>
    <w:p>
      <w:pPr>
        <w:ind w:left="780"/>
      </w:pPr>
      <w:r>
        <w:t xml:space="preserve">b) als Muster oder Proben in der erforderlichen Menge von demjenigen, der dafür eine Konformitätsbewertung beantragen will, eingeführt oder verbracht werden,</w:t>
      </w:r>
    </w:p>
    <w:p>
      <w:pPr>
        <w:ind w:left="780"/>
      </w:pPr>
      <w:r>
        <w:t xml:space="preserve">c) für die Forschung, Entwicklung und Prüfung hergestellt werden und den Anforderungen des Anhangs II der Richtlinie 2014/28/EU an Explosivstoffe oder den Anforderungen des Anhangs I der Richtlinie 2013/29/EU an pyrotechnische Gegenstände nicht genügen, sofern eine sichtbare Kennzeichnung deutlich darauf hinweist, dass diese Explosivstoffe und pyrotechnischen Gegenstände diesen Anforderungen nicht genügen und ausschließlich für die Forschung, Entwicklung und Prüfung verfügbar sind,</w:t>
      </w:r>
    </w:p>
    <w:p>
      <w:pPr>
        <w:ind w:left="780"/>
      </w:pPr>
      <w:r>
        <w:t xml:space="preserve">d) zur Abfallbeseitigung oder -verwertung überlassen werden,</w:t>
      </w:r>
    </w:p>
    <w:p>
      <w:pPr>
        <w:ind w:left="780"/>
      </w:pPr>
      <w:r>
        <w:t xml:space="preserve">e) für militärische oder polizeiliche Zwecke bestimmt sind und der zuständigen Bundesbehörde zur Prüfung überlassen werden oder</w:t>
      </w:r>
    </w:p>
    <w:p>
      <w:pPr>
        <w:ind w:left="780"/>
      </w:pPr>
      <w:r>
        <w:t xml:space="preserve">f) nur für militärische oder polizeiliche Zwecke bestimmt sind, sofern sie zur Bearbeitung, Verarbeitung oder Erprobung</w:t>
      </w:r>
    </w:p>
    <w:p>
      <w:pPr>
        <w:ind w:left="1140"/>
      </w:pPr>
      <w:r>
        <w:t xml:space="preserve">aa) von dem Betreiber einer genehmigten Anlage im Sinne des § 4 des Bundes-Immissionsschutzgesetzes an den Betreiber einer anderen derartigen Anlage vertrieben oder diesem überlassen werden oder</w:t>
      </w:r>
    </w:p>
    <w:p>
      <w:pPr>
        <w:ind w:left="1140"/>
      </w:pPr>
      <w:r>
        <w:t xml:space="preserve">bb) eingeführt oder verbracht und an den Betreiber einer genehmigten Anlage im Sinne des § 4 des Bundes-Immissionsschutzgesetzes vertrieben oder diesem überlassen werden,</w:t>
      </w:r>
    </w:p>
    <w:p>
      <w:pPr>
        <w:ind w:left="420"/>
      </w:pPr>
      <w:r>
        <w:t xml:space="preserve">3. pyrotechnische Gegenstände, die</w:t>
      </w:r>
    </w:p>
    <w:p>
      <w:pPr>
        <w:ind w:left="780"/>
      </w:pPr>
      <w:r>
        <w:t xml:space="preserve">a) als Seenotsignalmittel im Sinne der Richtlinie 96/98/EG zur Ausrüstung von Schiffen fremder Staaten in den Geltungsbereich dieses Gesetzes eingeführt oder verbracht werden, sofern diese Seenotsignalmittel nicht in den allgemeinen Verkehr gelangen,</w:t>
      </w:r>
    </w:p>
    <w:p>
      <w:pPr>
        <w:ind w:left="780"/>
      </w:pPr>
      <w:r>
        <w:t xml:space="preserve">b) in der Luft- und Raumfahrtindustrie eingesetzt werden,</w:t>
      </w:r>
    </w:p>
    <w:p>
      <w:pPr>
        <w:ind w:left="780"/>
      </w:pPr>
      <w:r>
        <w:t xml:space="preserve">c) zum Verkauf bei Messen, Ausstellungen und Vorführungen hergestellt, eingeführt, verbracht, ausgestellt oder verwendet werden und den Anforderungen der Richtlinie 2013/29/EU nicht genügen, sofern eine sichtbare Kennzeichnung den Namen und das Datum der betreffenden Messe, Ausstellung oder Vorführung trägt und deutlich darauf hinweist, dass die Gegenstände diesen Anforderungen nicht genügen und erst erworben werden können, wenn der Hersteller, der in einem Mitgliedstaat der Europäischen Union niedergelassen ist, oder anderenfalls der Einführer die Übereinstimmung mit den Anforderungen der Richtlinie 2013/29/EU hergestellt hat; bei solchen Veranstaltungen sind gemäß allen von der zuständigen Behörde des jeweiligen Mitgliedstaates der Europäischen Union festgelegten Anforderungen die geeigneten Sicherheitsmaßnahmen zu treffen, oder</w:t>
      </w:r>
    </w:p>
    <w:p>
      <w:pPr>
        <w:ind w:left="780"/>
      </w:pPr>
      <w:r>
        <w:t xml:space="preserve">d) zur Verwendung durch Feuerwehren bestimmt sind,</w:t>
      </w:r>
    </w:p>
    <w:p>
      <w:pPr>
        <w:ind w:left="420"/>
      </w:pPr>
      <w:r>
        <w:t xml:space="preserve">4. Feuerwerkskörper, die im Geltungsbereich dieses Gesetzes hergestellt und mit Zustimmung der zuständigen Behörde vom Hersteller zu religiösen, kulturellen und traditionellen Festivitäten abgebrannt werden sollen.</w:t>
      </w:r>
    </w:p>
    <w:p>
      <w:r>
        <w:t xml:space="preserve">(2) Der Nachweis dafür, dass die Explosivstoffe und pyrotechnischen Gegenstände nach Absatz 1 Nummer 1 den technischen Lieferbedingungen entsprechen, ist durch eine Bescheinigung der zuständigen Bundesbehörde zu erbringen.</w:t>
      </w:r>
    </w:p>
    <w:p>
      <w:r>
        <w:t xml:space="preserve">(3) Der Nachweis dafür, dass die Explosivstoffe und pyrotechnischen Gegenstände nach Absatz 1 Nummer 1 Buchstabe a für militärische oder polizeiliche Zwecke bestimmt sind, ist durch eine Bescheinigung oder durch den Auftrag der jeweiligen staatlichen Beschaffungs- oder Auftragsstelle zu erbringen. Zum Nachweis kann die zuständige Behörde auch eine Erklärung des mit der Entwicklung befassten Unternehmens anerkennen, wenn die Einfuhr, die Ausfuhr, die Durchfuhr oder das Verbringen zum Zweck der Entwicklung erfolgt und das mit der Entwicklung befasste Unternehmen in der Regel für militärische oder polizeiliche Auftraggeber tätig ist. Gegenüber Unterauftragnehmern gilt der Nachweis als erbracht durch</w:t>
      </w:r>
    </w:p>
    <w:p>
      <w:pPr>
        <w:ind w:left="420"/>
      </w:pPr>
      <w:r>
        <w:t xml:space="preserve">1. die schriftliche Bekanntgabe der Nummer des Genehmigungsbescheides nach dem Gesetz über die Kontrolle von Kriegswaffen oder</w:t>
      </w:r>
    </w:p>
    <w:p>
      <w:pPr>
        <w:ind w:left="420"/>
      </w:pPr>
      <w:r>
        <w:t xml:space="preserve">2. die Bezeichnung des Auftrages der staatlichen Beschaffungs- oder Auftragsstelle.</w:t>
      </w:r>
    </w:p>
    <w:p>
      <w:r>
        <w:t xml:space="preserve">(4) Der Überlasser von Explosivstoffen oder pyrotechnischen Gegenständen hat sich vom Erwerber schriftlich bescheinigen zu lassen, dass die Explosivstoffe oder pyrotechnischen Gegenstände nach Absatz 1 Nummer 2 Buchstabe f zu den in dieser Vorschrift bezeichneten Endprodukten in einer genehmigten Anlage im Sinne des § 4 des Bundes-Immissionsschutzgesetzes bearbeitet oder verarbeitet werden sollen.</w:t>
      </w:r>
    </w:p>
    <w:p>
      <w:r>
        <w:rPr>
          <w:color w:val="555555"/>
          <w:sz w:val="17"/>
        </w:rPr>
        <w:t xml:space="preserve">Zitiervorschlag: § 5a SprengG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https://recht.nulegal.eu/gesetze/SprengG%201976/5a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5a SprengG 1976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