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SprengG 1976 — Nicht mehr anwendbare Vorschriften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sie nicht bereits auf Grund des § 39 des Sprengstoffgesetzes vom 25. August 1969 außer Kraft getreten sind, treten außer Kraft 1. ... 2. ... 3. ...</w:t>
      </w:r>
    </w:p>
    <w:p>
      <w:pPr>
        <w:ind w:left="420"/>
      </w:pPr>
      <w:r>
        <w:t xml:space="preserve">4. sonstige landesrechtliche Vorschriften, deren Gegenstände in diesem Gesetz geregelt sind oder die ihm widersprechen.</w:t>
      </w:r>
    </w:p>
    <w:p>
      <w:r>
        <w:t xml:space="preserve">(2) Soweit sich die in Absatz 1 Nr. 4 bezeichneten Rechtsvorschriften auf Gegenstände beziehen, die durch Rechtsverordnungen auf Grund dieses Gesetzes zu regeln sind, treten diese Vorschriften erst mit Inkrafttreten der entsprechenden Rechtsverordnungen außer Kraft.</w:t>
      </w:r>
    </w:p>
    <w:p>
      <w:r>
        <w:rPr>
          <w:color w:val="555555"/>
          <w:sz w:val="17"/>
        </w:rPr>
        <w:t xml:space="preserve">Zitiervorschlag: § 51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