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SprengG 1976 — Konformitätsnachweis und CE-Kennzeichnung für Explosivstoffe und pyrotechnische Gegenstände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Explosivstoffe und pyrotechnische Gegenstände dürfen nur auf dem Markt bereitgestellt werden, wenn</w:t>
      </w:r>
    </w:p>
    <w:p>
      <w:pPr>
        <w:ind w:left="420"/>
      </w:pPr>
      <w:r>
        <w:t xml:space="preserve">1. der Hersteller den Konformitätsnachweis erbracht hat und</w:t>
      </w:r>
    </w:p>
    <w:p>
      <w:pPr>
        <w:ind w:left="420"/>
      </w:pPr>
      <w:r>
        <w:t xml:space="preserve">2. sie mit der CE-Kennzeichnung versehen sind.</w:t>
      </w:r>
    </w:p>
    <w:p>
      <w:r>
        <w:t xml:space="preserve">(1a) Explosivstoffe und pyrotechnische Gegenstände dürfen nur eingeführt, verbracht, in Verkehr gebracht, vertrieben, anderen überlassen oder verwendet werden, wenn sie die Anforderungen des Absatzes 1 erfüllen.</w:t>
      </w:r>
    </w:p>
    <w:p>
      <w:r>
        <w:t xml:space="preserve">(2) Der Konformitätsnachweis ist durch eine Konformitätserklärung erbracht, die bestätigt, dass die Konformität in einer Einzelprüfung überprüft worden ist oder</w:t>
      </w:r>
    </w:p>
    <w:p>
      <w:pPr>
        <w:ind w:left="420"/>
      </w:pPr>
      <w:r>
        <w:t xml:space="preserve">1. die Baumuster den wesentlichen Anforderungen entsprechen, die für Explosivstoffe in Anhang II der Richtlinie 2014/28/EU und für pyrotechnische Gegenstände in Anhang I der Richtlinie 2013/29/EU des Europäischen Parlaments und des Rates vom 12. Juni 2013 zur Harmonisierung der Rechtsvorschriften der Mitgliedstaaten über die Bereitstellung pyrotechnischer Gegenstände auf dem Markt (Neufassung) (ABl. L 178 vom 28.6.2013, S. 27) festgelegt sind und</w:t>
      </w:r>
    </w:p>
    <w:p>
      <w:pPr>
        <w:ind w:left="420"/>
      </w:pPr>
      <w:r>
        <w:t xml:space="preserve">2. die den Baumustern nachgefertigten Explosivstoffe und pyrotechnischen Gegenstände den Baumustern entsprechen.</w:t>
      </w:r>
    </w:p>
    <w:p>
      <w:r>
        <w:t xml:space="preserve">(3) Es ist verboten, nicht konforme Explosivstoffe oder nicht konforme pyrotechnische Gegenstände</w:t>
      </w:r>
    </w:p>
    <w:p>
      <w:pPr>
        <w:ind w:left="420"/>
      </w:pPr>
      <w:r>
        <w:t xml:space="preserve">1. mit der CE-Kennzeichnung zu versehen,</w:t>
      </w:r>
    </w:p>
    <w:p>
      <w:pPr>
        <w:ind w:left="420"/>
      </w:pPr>
      <w:r>
        <w:t xml:space="preserve">2. anderen Personen außerhalb der Betriebsstätte außer zur Ausfuhr oder zur Vernichtung zu überlassen.</w:t>
      </w:r>
    </w:p>
    <w:p>
      <w:r>
        <w:t xml:space="preserve">(4) Nicht der Pflicht zur CE-Kennzeichnung unterliegen</w:t>
      </w:r>
    </w:p>
    <w:p>
      <w:pPr>
        <w:ind w:left="420"/>
      </w:pPr>
      <w:r>
        <w:t xml:space="preserve">1. pyrotechnische Gegenstände zur ausschließlichen Verwendung nach den Anlagen A.1 und A.2 der Richtlinie 96/98/EG des Rates vom 20. Dezember 1996 über Schiffsausrüstung (ABl. L 46 vom 17.2.1997, S. 25), die zuletzt durch die Richtlinie (EU) 2015/559 (ABl. L 95 vom 10.4.2015, S. 1) geändert worden ist,</w:t>
      </w:r>
    </w:p>
    <w:p>
      <w:pPr>
        <w:ind w:left="420"/>
      </w:pPr>
      <w:r>
        <w:t xml:space="preserve">2. Zündplättchen, die speziell konzipiert sind für Spielzeug und sonstige Gegenstände im Sinne der Richtlinie 2009/48/EG des Europäischen Parlaments und des Rates vom 18. Juni 2009 über die Sicherheit von Spielzeug (ABl. L 170 vom 30.6.2009, S. 1, 2013 L 355 vom 31.12.2013, S. 92), die zuletzt durch die Richtlinie (EU) 2015/2117 (ABl. L 306 vom 24.11.2015, S. 23) geändert worden ist.</w:t>
      </w:r>
    </w:p>
    <w:p>
      <w:r>
        <w:rPr>
          <w:color w:val="555555"/>
          <w:sz w:val="17"/>
        </w:rPr>
        <w:t xml:space="preserve">Zitiervorschlag: § 5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