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SprengG 1976 — Rechtsstellung der Bundesanstalt</w:t>
      </w:r>
    </w:p>
    <w:p>
      <w:r>
        <w:rPr>
          <w:color w:val="555555"/>
          <w:sz w:val="18"/>
        </w:rPr>
        <w:t xml:space="preserve">Sprengstoffgesetz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Bundesanstalt ist eine bundesunmittelbare, nicht rechtsfähige Anstalt des öffentlichen Rechts im Geschäftsbereich des Bundesministeriums für Wirtschaft und Energie; sie ist eine Bundesoberbehörde.</w:t>
      </w:r>
    </w:p>
    <w:p>
      <w:r>
        <w:t xml:space="preserve">(2) Das Bundesministerium für Wirtschaft und Energie wird ermächtigt, durch Rechtsverordnung, die nicht der Zustimmung des Bundesrates bedarf, Vorschriften über die vertragliche Inanspruchnahme der Bundesanstalt zu erlassen.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44 SprengG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https://recht.nulegal.eu/gesetze/SprengG%201976/44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