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SprengG 1976 — Beteiligung beim Erlass von Rechtsverordnungen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Rechtsverordnungen nach den §§ 4 und 6, nach § 9 Abs. 3, § 16 Abs. 3 und § 22 Absatz 6 ergehen im Einvernehmen mit dem Bundesministerium für Wirtschaft und Energie und dem Bundesministerium für Arbeit und Soziales und mit Zustimmung des Bundesrates. Rechtsverordnungen nach § 4 Satz 1 Nr. 5, § 9 Abs. 3 Nr. 2, § 13 Abs. 3 und § 29 Nr. 1 ergehen, soweit sie die Beförderung explosionsgefährlicher Stoffe betreffen, im Einvernehmen mit dem Bundesministerium für Verkehr und digitale Infrastruktur, Rechtsverordnungen nach § 13 Abs. 3 auch im Einvernehmen mit dem Bundesministerium für Arbeit und Soziales. Soweit die Rechtsverordnungen nach § 4 Satz 1 Nr. 1 und 3 explosionsgefährliche Stoffe für medizinische oder pharmazeutische Zwecke betreffen, ergehen sie auch im Einvernehmen mit dem Bundesministerium für Gesundheit.</w:t>
      </w:r>
    </w:p>
    <w:p>
      <w:r>
        <w:t xml:space="preserve">(2) Rechtsverordnungen nach § 25 ergehen im Einvernehmen mit dem Bundesministerium des Innern, für Bau und Heimat und mit Zustimmung des Bundesrates; soweit diese Rechtsverordnungen den Verkehr mit explosionsgefährlichen Stoffen oder Sprengzubehör betreffen, ergehen sie auch im Einvernehmen mit dem Bundesministerium für Wirtschaft und Energie.</w:t>
      </w:r>
    </w:p>
    <w:p>
      <w:r>
        <w:rPr>
          <w:color w:val="555555"/>
          <w:sz w:val="17"/>
        </w:rPr>
        <w:t xml:space="preserve">Zitiervorschlag: § 39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