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SprengG 1976 — Abhandenkommen des Erlaubnisbescheides und des Befähigungsscheines</w:t>
      </w:r>
    </w:p>
    <w:p>
      <w:r>
        <w:rPr>
          <w:color w:val="555555"/>
          <w:sz w:val="18"/>
        </w:rPr>
        <w:t xml:space="preserve">Sprengstoffgesetz</w:t>
      </w:r>
    </w:p>
    <w:p>
      <w:r>
        <w:rPr>
          <w:color w:val="555555"/>
          <w:sz w:val="18"/>
        </w:rPr>
        <w:t xml:space="preserve">Stand: 10.06.2019 (konsolidierte Textfassung, kein amtliches Inkrafttretensdatum)</w:t>
      </w:r>
    </w:p>
    <w:p>
      <w:r>
        <w:t xml:space="preserve">(1) Der Erlaubnis- und der Befähigungsscheininhaber haben der zuständigen Behörde den Verlust des Erlaubnisbescheides oder des Befähigungsscheines oder einer Ausfertigung unverzüglich anzuzeigen.</w:t>
      </w:r>
    </w:p>
    <w:p>
      <w:r>
        <w:t xml:space="preserve">(2) Ist der Erlaubnisbescheid, der Befähigungsschein oder eine Ausfertigung in Verlust geraten, so sollen der Erlaubnisbescheid, der Befähigungsschein und sämtliche Ausfertigungen für ungültig erklärt werden. Die Erklärung der Ungültigkeit wird im Bundesanzeiger bekannt gemacht.</w:t>
      </w:r>
    </w:p>
    <w:p>
      <w:r>
        <w:rPr>
          <w:color w:val="555555"/>
          <w:sz w:val="17"/>
        </w:rPr>
        <w:t xml:space="preserve">Zitiervorschlag: § 35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