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33d SprengG 1976 — Weitere Maßnahmen im Rahmen der Marktüberwachung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gegenüber Wirtschaftsakteuren Maßnahmen zur Durchführung der Verordnung (EG) Nr. 765/2008, auch in Verbindung mit der Richtlinie 2014/28/EU oder der Richtlinie 2013/29/EU, anordnen. Dabei können auch Anordnungen getroffen werden, die über die auf Grund einer Rechtsverordnung nach § 25 oder § 29 gestellten Anforderungen hinausgehen, soweit dies zum Schutz von Leben, Gesundheit und von Sachgütern erforderlich ist. Artikel 15 Absatz 3 der Verordnung (EG) Nr. 765/2008 findet Anwendung.</w:t>
      </w:r>
    </w:p>
    <w:p>
      <w:r>
        <w:t xml:space="preserve">(2) Die zuständige Behörde fordert Wirtschaftsakteure dazu auf, die folgenden Fälle formaler Nichtkonformität eines Explosivstoffes oder eines pyrotechnischen Gegenstandes zu beseitigen:</w:t>
      </w:r>
    </w:p>
    <w:p>
      <w:pPr>
        <w:ind w:left="420"/>
      </w:pPr>
      <w:r>
        <w:t xml:space="preserve">1. die CE-Kennzeichnung wurde nicht oder unter Verstoß gegen Artikel 30 der Verordnung (EG) Nr. 765/2008, Artikel 20 der Richtlinie 29/2013/EU oder Artikel 23 der Richtlinie 28/2014/EU angebracht,</w:t>
      </w:r>
    </w:p>
    <w:p>
      <w:pPr>
        <w:ind w:left="420"/>
      </w:pPr>
      <w:r>
        <w:t xml:space="preserve">2. die Kennnummer der in der Phase der Fertigungskontrolle tätigen benannten Stelle wurde nicht oder unter Verstoß gegen Artikel 20 der Richtlinie 29/2013/EU oder Artikel 23 der Richtlinie 28/2014/EU angebracht,</w:t>
      </w:r>
    </w:p>
    <w:p>
      <w:pPr>
        <w:ind w:left="420"/>
      </w:pPr>
      <w:r>
        <w:t xml:space="preserve">3. die EU-Konformitätserklärung wurde nicht oder nicht ordnungsgemäß ausgestellt,</w:t>
      </w:r>
    </w:p>
    <w:p>
      <w:pPr>
        <w:ind w:left="420"/>
      </w:pPr>
      <w:r>
        <w:t xml:space="preserve">4. die technischen Unterlagen sind nicht verfügbar oder nicht vollständig,</w:t>
      </w:r>
    </w:p>
    <w:p>
      <w:pPr>
        <w:ind w:left="420"/>
      </w:pPr>
      <w:r>
        <w:t xml:space="preserve">5. die in Artikel 8 Absatz 6 oder Artikel 12 Absatz 3 der Richtlinie 2013/29/EU und in Artikel 5 Absatz 5 oder Artikel 7 Absatz 3 der Richtlinie 2014/28/EU genannten Angaben fehlen, sind falsch oder unvollständig,</w:t>
      </w:r>
    </w:p>
    <w:p>
      <w:pPr>
        <w:ind w:left="420"/>
      </w:pPr>
      <w:r>
        <w:t xml:space="preserve">6. eine andere verwaltungstechnische Anforderung nach Artikel 8 oder Artikel 12 der Richtlinie 2013/29/EU sowie nach Artikel 5 oder Artikel 7 der Richtlinie 2014/28/EU ist nicht erfüllt.</w:t>
      </w:r>
    </w:p>
    <w:p>
      <w:r>
        <w:t xml:space="preserve">(3) Kommt der Wirtschaftsakteur Anordnungen nach Absatz 1 oder Aufforderungen nach Absatz 2 nicht nach, trifft die zuständige Behörde alle erforderlichen Maßnahmen, um</w:t>
      </w:r>
    </w:p>
    <w:p>
      <w:pPr>
        <w:ind w:left="420"/>
      </w:pPr>
      <w:r>
        <w:t xml:space="preserve">1. die Bereitstellung des Explosivstoffes oder des pyrotechnischen Gegenstandes auf dem Markt zu beschränken oder zu untersagen oder</w:t>
      </w:r>
    </w:p>
    <w:p>
      <w:pPr>
        <w:ind w:left="420"/>
      </w:pPr>
      <w:r>
        <w:t xml:space="preserve">2. dafür zu sorgen, dass der Explosivstoff oder pyrotechnische Gegenstand zurückgenommen oder zurückgerufen wird.</w:t>
      </w:r>
    </w:p>
    <w:p>
      <w:r>
        <w:t xml:space="preserve">(4) Hat der Wirtschaftsakteur nach § 16l Absatz 2 Satz 2 der zuständigen Behörde bei Einstellung des Geschäftsbetriebes Unterlagen übergeben, so obliegt dieser die Aufbewahrung dieser Unterlagen bis zum Ablauf der in § 16l Absatz 2 Satz 1 bezeichneten Frist.</w:t>
      </w:r>
    </w:p>
    <w:p>
      <w:r>
        <w:rPr>
          <w:color w:val="555555"/>
          <w:sz w:val="17"/>
        </w:rPr>
        <w:t xml:space="preserve">Zitiervorschlag: § 33d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https://recht.nulegal.eu/gesetze/SprengG%201976/33d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33d SprengG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