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33c SprengG 1976 — Maßnahmen bei Information durch andere Mitgliedstaaten der Europäischen Union über Explosivstoffe oder pyrotechnische Gegenstände; Aufhebung oder Änderung getroffener Maßnahmen</w:t>
      </w:r>
    </w:p>
    <w:p>
      <w:r>
        <w:rPr>
          <w:color w:val="555555"/>
          <w:sz w:val="18"/>
        </w:rPr>
        <w:t xml:space="preserve">Sprengstoffgesetz</w:t>
      </w:r>
    </w:p>
    <w:p>
      <w:r>
        <w:rPr>
          <w:color w:val="555555"/>
          <w:sz w:val="18"/>
        </w:rPr>
        <w:t xml:space="preserve">Stand: 05.08.2021 (konsolidierte Textfassung, kein amtliches Inkrafttretensdatum)</w:t>
      </w:r>
    </w:p>
    <w:p>
      <w:r>
        <w:t xml:space="preserve">(1) Wird die zuständige Behörde von Behörden anderer Mitgliedstaaten der Europäischen Union über deren Maßnahmen gegen nicht konforme oder sonst unsichere Explosivstoffe oder pyrotechnische Gegenstände informiert, trifft sie alle notwendigen Maßnahmen zum Schutz der Verbraucher oder Dritter.</w:t>
      </w:r>
    </w:p>
    <w:p>
      <w:r>
        <w:t xml:space="preserve">(2) Bestehen Einwände gegen die von den anderen Mitgliedstaaten der Europäischen Union getroffenen Maßnahmen, unterrichten die obersten Landesbehörden im Einvernehmen mit dem Bundesministerium des Innern, für Bau und Heimat die Europäische Kommission und die anderen Mitgliedstaaten der Europäischen Union über die getroffenen Maßnahmen nach Absatz 1 und die Einwände gegen die von den Behörden anderer Mitgliedstaaten der Europäischen Union getroffenen Maßnahmen.</w:t>
      </w:r>
    </w:p>
    <w:p>
      <w:r>
        <w:t xml:space="preserve">(3) Verlangt die Europäische Kommission auf der Grundlage des Artikels 43 der Richtlinie 2014/28/EU oder des Artikels 40 der Richtlinie 2013/29/EU die Aufhebung oder Änderung einer getroffenen Maßnahme, hat die zuständige Behörde den erlassenen Verwaltungsakt aufzuheben oder zu ändern.</w:t>
      </w:r>
    </w:p>
    <w:p>
      <w:r>
        <w:rPr>
          <w:color w:val="555555"/>
          <w:sz w:val="17"/>
        </w:rPr>
        <w:t xml:space="preserve">Zitiervorschlag: § 33c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https://recht.nulegal.eu/gesetze/SprengG%201976/33c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33c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