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SprengG 1976 — Begriffsbestimmungen</w:t>
      </w:r>
    </w:p>
    <w:p>
      <w:r>
        <w:rPr>
          <w:color w:val="555555"/>
          <w:sz w:val="18"/>
        </w:rPr>
        <w:t xml:space="preserve">Sprengstoffgesetz</w:t>
      </w:r>
    </w:p>
    <w:p>
      <w:r>
        <w:rPr>
          <w:color w:val="555555"/>
          <w:sz w:val="18"/>
        </w:rPr>
        <w:t xml:space="preserve">Stand: 10.06.2019 (konsolidierte Textfassung, kein amtliches Inkrafttretensdatum)</w:t>
      </w:r>
    </w:p>
    <w:p>
      <w:r>
        <w:t xml:space="preserve">(1) Im Sinne dieses Gesetzes sind</w:t>
      </w:r>
    </w:p>
    <w:p>
      <w:pPr>
        <w:ind w:left="420"/>
      </w:pPr>
      <w:r>
        <w:t xml:space="preserve">1. explosionsgefährliche Stoffe:</w:t>
      </w:r>
    </w:p>
    <w:p>
      <w:pPr>
        <w:ind w:left="780"/>
      </w:pPr>
      <w:r>
        <w:t xml:space="preserve">a) feste oder flüssige Stoffe und Gemische (Stoffe), die</w:t>
      </w:r>
    </w:p>
    <w:p>
      <w:pPr>
        <w:ind w:left="1140"/>
      </w:pPr>
      <w:r>
        <w:t xml:space="preserve">aa) durch eine gewöhnliche thermische, mechanische oder andere Beanspruchung zur Explosion gebracht werden können und</w:t>
      </w:r>
    </w:p>
    <w:p>
      <w:pPr>
        <w:ind w:left="1140"/>
      </w:pPr>
      <w:r>
        <w:t xml:space="preserve">bb) sich bei Durchführung der Prüfverfahren nach Anhang Teil A.14. der Verordnung (EG) Nr. 440/2008 der Kommission vom 30. Mai 2008 zur Festlegung der Prüfmethoden gemäß der Verordnung (EG) Nr. 1907/2006 des Europäischen Parlaments und des Rates zur Registrierung, Bewertung, Zulassung und Beschränkung chemischer Stoffe (REACH) (ABl. L 142 vom 31.5.2008, S. 1), die zuletzt durch die Verordnung (EU) 2016/266 (ABl. L 54 vom 1.3.2016, S. 1) geändert worden ist, in der jeweils jüngsten im Amtsblatt der Europäischen Union veröffentlichten Fassung als explosionsgefährlich erwiesen haben,</w:t>
      </w:r>
    </w:p>
    <w:p>
      <w:pPr>
        <w:ind w:left="780"/>
      </w:pPr>
      <w:r>
        <w:t xml:space="preserve">b) Gegenstände, die Stoffe nach Buchstabe a enthalten,</w:t>
      </w:r>
    </w:p>
    <w:p>
      <w:pPr>
        <w:ind w:left="420"/>
      </w:pPr>
      <w:r>
        <w:t xml:space="preserve">2. Explosivstoffe:</w:t>
      </w:r>
    </w:p>
    <w:p>
      <w:pPr>
        <w:ind w:left="780"/>
      </w:pPr>
      <w:r>
        <w:t xml:space="preserve">a) Stoffe und Gegenstände, die nach der Richtlinie 2014/28/EU des Europäischen Parlaments und des Rates vom 26. Februar 2014 zur Harmonisierung der Rechtsvorschriften der Mitgliedstaaten über die Bereitstellung auf dem Markt und die Kontrolle von Explosivstoffen für zivile Zwecke (Neufassung) (ABl. L 96 vom 29.3.2014, S. 1) als Explosivstoffe für zivile Zwecke betrachtet werden oder diesen in Zusammensetzung und Wirkung ähnlich sind,</w:t>
      </w:r>
    </w:p>
    <w:p>
      <w:pPr>
        <w:ind w:left="780"/>
      </w:pPr>
      <w:r>
        <w:t xml:space="preserve">b) die in Anlage III genannten Stoffe und Gegenstände,</w:t>
      </w:r>
    </w:p>
    <w:p>
      <w:pPr>
        <w:ind w:left="420"/>
      </w:pPr>
      <w:r>
        <w:t xml:space="preserve">3. pyrotechnische Gegenstände: Gegenstände, die explosionsgefährliche Stoffe oder Stoffgemische enthalten (pyrotechnische Sätze), mit denen auf Grund selbsterhaltender, exotherm ablaufender chemischer Reaktionen Wärme, Licht, Schall, Gas oder Rauch oder eine Kombination dieser Wirkungen erzeugt werden soll,</w:t>
      </w:r>
    </w:p>
    <w:p>
      <w:pPr>
        <w:ind w:left="420"/>
      </w:pPr>
      <w:r>
        <w:t xml:space="preserve">4. Feuerwerkskörper: pyrotechnische Gegenstände für Unterhaltungszwecke,</w:t>
      </w:r>
    </w:p>
    <w:p>
      <w:pPr>
        <w:ind w:left="420"/>
      </w:pPr>
      <w:r>
        <w:t xml:space="preserve">5. pyrotechnische Gegenstände für Fahrzeuge: Komponenten von Sicherheitsvorrichtungen in Fahrzeugen, die pyrotechnische Sätze enthalten, die zur Aktivierung dieser oder anderer Vorrichtungen verwendet werden,</w:t>
      </w:r>
    </w:p>
    <w:p>
      <w:pPr>
        <w:ind w:left="420"/>
      </w:pPr>
      <w:r>
        <w:t xml:space="preserve">6. pyrotechnische Gegenstände für Bühne und Theater: pyrotechnische Gegenstände für die Verwendung auf Bühnen im Innen- und Außenbereich, bei Film- und Fernsehproduktionen oder für eine ähnliche Verwendung,</w:t>
      </w:r>
    </w:p>
    <w:p>
      <w:pPr>
        <w:ind w:left="420"/>
      </w:pPr>
      <w:r>
        <w:t xml:space="preserve">7. Anzündmittel: pyrotechnische Gegenstände, die explosionsgefährliche Stoffe enthalten und die zur nichtdetonativen Auslösung von Explosivstoffen oder pyrotechnischen Gegenständen bestimmt sind,</w:t>
      </w:r>
    </w:p>
    <w:p>
      <w:pPr>
        <w:ind w:left="420"/>
      </w:pPr>
      <w:r>
        <w:t xml:space="preserve">8. sonstige pyrotechnische Gegenstände: pyrotechnische Gegenstände, die technischen Zwecken dienen,</w:t>
      </w:r>
    </w:p>
    <w:p>
      <w:pPr>
        <w:ind w:left="420"/>
      </w:pPr>
      <w:r>
        <w:t xml:space="preserve">9. sonstige explosionsgefährliche Stoffe: explosionsgefährliche Stoffe, die weder Explosivstoff noch pyrotechnischer Gegenstand sind; als sonstige explosionsgefährliche Stoffe gelten auch Explosivstoffe, die zur Herstellung sonstiger explosionsgefährlicher Stoffe bestimmt sind,</w:t>
      </w:r>
    </w:p>
    <w:p>
      <w:pPr>
        <w:ind w:left="420"/>
      </w:pPr>
      <w:r>
        <w:t xml:space="preserve">10. Zündmittel: Gegenstände, die explosionsgefährliche Stoffe enthalten und die zur detonativen Auslösung von Explosivstoffen bestimmt sind,</w:t>
      </w:r>
    </w:p>
    <w:p>
      <w:pPr>
        <w:ind w:left="420"/>
      </w:pPr>
      <w:r>
        <w:t xml:space="preserve">11. Hilfsstoffe: Stoffe, die einem chemischen Verfahren zugesetzt werden, um den Verfahrensablauf zu erleichtern oder die Eigenschaften des Endproduktes zu beeinflussen,</w:t>
      </w:r>
    </w:p>
    <w:p>
      <w:pPr>
        <w:ind w:left="420"/>
      </w:pPr>
      <w:r>
        <w:t xml:space="preserve">12. Zwischenerzeugnisse: Stoffe, die in einem Verfahrensgang innerhalb einer Betriebsstätte, wenn auch in mehreren nach § 4 des Bundes-Immissionsschutzgesetzes genehmigungsbedürftigen Anlagen, als explosionsgefährliche Stoffe entstehen und in demselben Verfahrensgang die Eigenschaft der Explosionsgefährlichkeit wieder verlieren,</w:t>
      </w:r>
    </w:p>
    <w:p>
      <w:pPr>
        <w:ind w:left="420"/>
      </w:pPr>
      <w:r>
        <w:t xml:space="preserve">13. Sprengzubehör:</w:t>
      </w:r>
    </w:p>
    <w:p>
      <w:pPr>
        <w:ind w:left="780"/>
      </w:pPr>
      <w:r>
        <w:t xml:space="preserve">a) Gegenstände, die zur Auslösung einer Sprengung oder zur Prüfung der zur Auslösung einer Sprengung erforderlichen Vorrichtung bestimmt sind und keine explosionsgefährlichen Stoffe enthalten,</w:t>
      </w:r>
    </w:p>
    <w:p>
      <w:pPr>
        <w:ind w:left="780"/>
      </w:pPr>
      <w:r>
        <w:t xml:space="preserve">b) Ladegeräte und Mischladegeräte für explosionsgefährliche oder explosionsfähige Stoffe, die für Sprengarbeiten verwendet werden,</w:t>
      </w:r>
    </w:p>
    <w:p>
      <w:pPr>
        <w:ind w:left="420"/>
      </w:pPr>
      <w:r>
        <w:t xml:space="preserve">14. Sprengarbeiten: die bestimmungsgemäße Verwendung von Explosivstoffen, Anzündmitteln und Sprengzubehör zur gezielten Nutzung der Energie, die bei der Explosion in Form von Druckentwicklung und Stoßwellenbildung freigesetzt wird,</w:t>
      </w:r>
    </w:p>
    <w:p>
      <w:pPr>
        <w:ind w:left="420"/>
      </w:pPr>
      <w:r>
        <w:t xml:space="preserve">15. Munition: Geschosse, Treibladungen und Übungsmunition für Handfeuerwaffen, andere Schusswaffen, Artilleriegeschütze und technische Geräte,</w:t>
      </w:r>
    </w:p>
    <w:p>
      <w:pPr>
        <w:ind w:left="420"/>
      </w:pPr>
      <w:r>
        <w:t xml:space="preserve">16. Fundmunition: Munition oder sprengkräftige Kriegswaffen, die nicht ununterbrochen verwahrt, überwacht oder verwaltet worden sind.</w:t>
      </w:r>
    </w:p>
    <w:p>
      <w:r>
        <w:t xml:space="preserve">(2) Im Sinne dieses Gesetzes ist</w:t>
      </w:r>
    </w:p>
    <w:p>
      <w:pPr>
        <w:ind w:left="420"/>
      </w:pPr>
      <w:r>
        <w:t xml:space="preserve">1. Umgang mit explosionsgefährlichen Stoffen: das Herstellen, Bearbeiten, Verarbeiten, Wiedergewinnen, Aufbewahren, Verbringen, Verwenden und Vernichten sowie innerhalb der Betriebsstätte der Transport, das Überlassen und die Empfangnahme explosionsgefährlicher Stoffe sowie die weiteren in § 1b Absatz 1 Nummer 3 Buchstabe a bis e bezeichneten Tätigkeiten,</w:t>
      </w:r>
    </w:p>
    <w:p>
      <w:pPr>
        <w:ind w:left="420"/>
      </w:pPr>
      <w:r>
        <w:t xml:space="preserve">2. Bereitstellung auf dem Markt: jede entgeltliche oder unentgeltliche Abgabe eines Stoffes oder Gegenstandes zum Vertrieb oder zur Verwendung auf dem Markt im Rahmen einer gewerblichen oder wirtschaftlichen Tätigkeit,</w:t>
      </w:r>
    </w:p>
    <w:p>
      <w:pPr>
        <w:ind w:left="420"/>
      </w:pPr>
      <w:r>
        <w:t xml:space="preserve">3. Inverkehrbringen: die erstmalige Bereitstellung eines Stoffes oder Gegenstandes auf dem Markt,</w:t>
      </w:r>
    </w:p>
    <w:p>
      <w:pPr>
        <w:ind w:left="420"/>
      </w:pPr>
      <w:r>
        <w:t xml:space="preserve">4. Verkehr mit explosionsgefährlichen Stoffen: die Bereitstellung auf dem Markt, der Erwerb, das Überlassen und das Vermitteln des Erwerbs, des Vertriebs und des Überlassens explosionsgefährlicher Stoffe,</w:t>
      </w:r>
    </w:p>
    <w:p>
      <w:pPr>
        <w:ind w:left="420"/>
      </w:pPr>
      <w:r>
        <w:t xml:space="preserve">5. Drittstaat: jeder Staat, der kein Mitgliedstaat der Europäischen Union ist,</w:t>
      </w:r>
    </w:p>
    <w:p>
      <w:pPr>
        <w:ind w:left="420"/>
      </w:pPr>
      <w:r>
        <w:t xml:space="preserve">6. Einfuhr: jede Ortsveränderung von explosionsgefährlichen Stoffen aus einem Drittstaat in den Geltungsbereich dieses Gesetzes einschließlich der Überführung zur Überlassung in den zollrechtlich freien Verkehr nach vorheriger Durchfuhr,</w:t>
      </w:r>
    </w:p>
    <w:p>
      <w:pPr>
        <w:ind w:left="420"/>
      </w:pPr>
      <w:r>
        <w:t xml:space="preserve">7. Ausfuhr: jede Ortsveränderung von explosionsgefährlichen Stoffen aus dem Geltungsbereich dieses Gesetzes in einen Drittstaat,</w:t>
      </w:r>
    </w:p>
    <w:p>
      <w:pPr>
        <w:ind w:left="420"/>
      </w:pPr>
      <w:r>
        <w:t xml:space="preserve">8. Durchfuhr: jede Ortsveränderung von explosionsgefährlichen Stoffen aus einem Drittstaat in einen anderen Drittstaat durch den Geltungsbereich dieses Gesetzes unter zollamtlicher Überwachung einschließlich</w:t>
      </w:r>
    </w:p>
    <w:p>
      <w:pPr>
        <w:ind w:left="780"/>
      </w:pPr>
      <w:r>
        <w:t xml:space="preserve">a) der Überführung in das Zolllagerverfahren,</w:t>
      </w:r>
    </w:p>
    <w:p>
      <w:pPr>
        <w:ind w:left="780"/>
      </w:pPr>
      <w:r>
        <w:t xml:space="preserve">b) des Verbringens in eine Freizone,</w:t>
      </w:r>
    </w:p>
    <w:p>
      <w:pPr>
        <w:ind w:left="780"/>
      </w:pPr>
      <w:r>
        <w:t xml:space="preserve">c) des Versandverfahrens mit anschließender Überführung in das Zolllagerverfahren oder anschließendem Verbringen in eine Freizone,</w:t>
      </w:r>
    </w:p>
    <w:p>
      <w:pPr>
        <w:ind w:left="780"/>
      </w:pPr>
      <w:r>
        <w:t xml:space="preserve">d) des Versandverfahrens durch das Zollgebiet der Europäischen Union oder mit Bestimmungsstelle in einem anderen Mitgliedstaat der Europäischen Union,</w:t>
      </w:r>
    </w:p>
    <w:p>
      <w:pPr>
        <w:ind w:left="420"/>
      </w:pPr>
      <w:r>
        <w:t xml:space="preserve">9. Verbringen: jede Ortsveränderung von Stoffen und Gegenständen außerhalb einer Betriebsstätte</w:t>
      </w:r>
    </w:p>
    <w:p>
      <w:pPr>
        <w:ind w:left="780"/>
      </w:pPr>
      <w:r>
        <w:t xml:space="preserve">a) im Geltungsbereich dieses Gesetzes,</w:t>
      </w:r>
    </w:p>
    <w:p>
      <w:pPr>
        <w:ind w:left="780"/>
      </w:pPr>
      <w:r>
        <w:t xml:space="preserve">b) aus einem anderen Mitgliedstaat der Europäischen Union in den Geltungsbereich dieses Gesetzes,</w:t>
      </w:r>
    </w:p>
    <w:p>
      <w:pPr>
        <w:ind w:left="780"/>
      </w:pPr>
      <w:r>
        <w:t xml:space="preserve">c) aus dem Geltungsbereich dieses Gesetzes in einen anderen Mitgliedstaat der Europäischen Union,</w:t>
      </w:r>
    </w:p>
    <w:p>
      <w:pPr>
        <w:ind w:left="420"/>
      </w:pPr>
      <w:r>
        <w:t xml:space="preserve">einschließlich der Empfangnahme und des Überlassens durch den Verbringer,</w:t>
      </w:r>
    </w:p>
    <w:p>
      <w:pPr>
        <w:ind w:left="420"/>
      </w:pPr>
      <w:r>
        <w:t xml:space="preserve">10. Beförderung: jede Ortsveränderung im Sinne verkehrsrechtlicher Vorschriften,</w:t>
      </w:r>
    </w:p>
    <w:p>
      <w:pPr>
        <w:ind w:left="420"/>
      </w:pPr>
      <w:r>
        <w:t xml:space="preserve">11. Rücknahme: jede Maßnahme, mit der verhindert werden soll, dass ein Stoff oder Gegenstand, der sich in der Lieferkette befindet, auf dem Markt bereitgestellt wird,</w:t>
      </w:r>
    </w:p>
    <w:p>
      <w:pPr>
        <w:ind w:left="420"/>
      </w:pPr>
      <w:r>
        <w:t xml:space="preserve">12. Rückruf: jede Maßnahme, die darauf abzielt, die Rückgabe eines dem Endnutzer bereits bereitgestellten Stoffes oder Gegenstandes zu erwirken.</w:t>
      </w:r>
    </w:p>
    <w:p>
      <w:r>
        <w:t xml:space="preserve">(3) Im Sinne dieses Gesetzes ist oder sind</w:t>
      </w:r>
    </w:p>
    <w:p>
      <w:pPr>
        <w:ind w:left="420"/>
      </w:pPr>
      <w:r>
        <w:t xml:space="preserve">1. Hersteller: jede natürliche oder juristische Person, die einen Explosivstoff oder pyrotechnischen Gegenstand herstellt oder entwickeln oder herstellen lässt und diesen Explosivstoff oder pyrotechnischen Gegenstand unter ihrem eigenen Namen oder ihrer eigenen Marke vermarktet,</w:t>
      </w:r>
    </w:p>
    <w:p>
      <w:pPr>
        <w:ind w:left="420"/>
      </w:pPr>
      <w:r>
        <w:t xml:space="preserve">2. Einführer: jede in einem Mitgliedstaat der Europäischen Union ansässige natürliche oder juristische Person, die einen Explosivstoff oder pyrotechnischen Gegenstand aus einem Drittstaat in den Geltungsbereich dieses Gesetzes einführt,</w:t>
      </w:r>
    </w:p>
    <w:p>
      <w:pPr>
        <w:ind w:left="420"/>
      </w:pPr>
      <w:r>
        <w:t xml:space="preserve">3. Bevollmächtigter: jede in einem Mitgliedstaat der Europäischen Union ansässige natürliche oder juristische Person, die von einem Hersteller schriftlich beauftragt wurde, in seinem Namen bestimmte Aufgaben wahrzunehmen,</w:t>
      </w:r>
    </w:p>
    <w:p>
      <w:pPr>
        <w:ind w:left="420"/>
      </w:pPr>
      <w:r>
        <w:t xml:space="preserve">4. Händler: jede weitere natürliche oder juristische Person in der Lieferkette, die einen Explosivstoff oder pyrotechnischen Gegenstand auf dem Markt bereitstellt, mit Ausnahme des Herstellers oder des Einführers,</w:t>
      </w:r>
    </w:p>
    <w:p>
      <w:pPr>
        <w:ind w:left="420"/>
      </w:pPr>
      <w:r>
        <w:t xml:space="preserve">5. Wirtschaftsakteur: der Hersteller, der Bevollmächtigte nach § 16d, der Einführer und der Händler sowie beim Inverkehrbringen von Explosivstoffen zusätzlich jede juristische oder natürliche Person, die die Lagerung, die Verwendung, die Verbringung, die Einfuhr und die Ausfuhr von Explosivstoffen beziehungsweise den Handel damit betreibt.</w:t>
      </w:r>
    </w:p>
    <w:p>
      <w:r>
        <w:t xml:space="preserve">(4) Im Sinne dieses Gesetzes ist</w:t>
      </w:r>
    </w:p>
    <w:p>
      <w:pPr>
        <w:ind w:left="420"/>
      </w:pPr>
      <w:r>
        <w:t xml:space="preserve">1. harmonisierte Norm: eine harmonisierte Norm im Sinne von Artikel 2 Nummer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 die zuletzt durch die Richtlinie 2014/68/EU (ABl. L 189 vom 27.6.2014, S. 164) geändert worden ist,</w:t>
      </w:r>
    </w:p>
    <w:p>
      <w:pPr>
        <w:ind w:left="420"/>
      </w:pPr>
      <w:r>
        <w:t xml:space="preserve">2. Akkreditierung: eine Akkreditierung im Sinne von Artikel 2 Nummer 10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pPr>
        <w:ind w:left="420"/>
      </w:pPr>
      <w:r>
        <w:t xml:space="preserve">3. Konformitätsbewertung: das Verfahren zur Bewertung, ob die durch eine Rechtsvorschrift der Europäischen Union zur Harmonisierung der Bedingungen für die Vermarktung von Produkten vorgeschriebenen wesentlichen Sicherheitsanforderungen an einen Explosivstoff oder pyrotechnischen Gegenstand erfüllt worden sind,</w:t>
      </w:r>
    </w:p>
    <w:p>
      <w:pPr>
        <w:ind w:left="420"/>
      </w:pPr>
      <w:r>
        <w:t xml:space="preserve">4. CE-Kennzeichnung: die Kennzeichnung, durch die der Hersteller erklärt, dass der Explosivstoff oder der pyrotechnische Gegenstand den geltenden Anforderungen genügt, die in den Rechtsvorschriften der Europäischen Union zur Harmonisierung der Bedingungen für die Vermarktung von Produkten festgelegt sind.</w:t>
      </w:r>
    </w:p>
    <w:p>
      <w:r>
        <w:rPr>
          <w:color w:val="555555"/>
          <w:sz w:val="17"/>
        </w:rPr>
        <w:t xml:space="preserve">Zitiervorschlag: § 3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