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 SprengG 1976 — Ermächtigung zum Erlass von Schutzvorschriften</w:t>
      </w:r>
    </w:p>
    <w:p>
      <w:r>
        <w:rPr>
          <w:color w:val="555555"/>
          <w:sz w:val="18"/>
        </w:rPr>
        <w:t xml:space="preserve">Sprengstoffgesetz</w:t>
      </w:r>
    </w:p>
    <w:p>
      <w:r>
        <w:rPr>
          <w:color w:val="555555"/>
          <w:sz w:val="18"/>
        </w:rPr>
        <w:t xml:space="preserve">Stand: 10.06.2019 (konsolidierte Textfassung, kein amtliches Inkrafttretensdatum)</w:t>
      </w:r>
    </w:p>
    <w:p>
      <w:r>
        <w:t xml:space="preserve">Das Bundesministerium für Arbeit und Soziales wird ermächtigt, durch Rechtsverordnung zum Schutze von Leben, Gesundheit und Sachgütern Beschäftigter und Dritter für den Umgang und den Verkehr mit explosionsgefährlichen Stoffen und mit Sprengzubehör zu bestimmen,</w:t>
      </w:r>
    </w:p>
    <w:p>
      <w:pPr>
        <w:ind w:left="420"/>
      </w:pPr>
      <w:r>
        <w:t xml:space="preserve">1. welche Maßnahmen zur Erfüllung der sich aus § 24 ergebenden Pflichten zu treffen sind,</w:t>
      </w:r>
    </w:p>
    <w:p>
      <w:pPr>
        <w:ind w:left="420"/>
      </w:pPr>
      <w:r>
        <w:t xml:space="preserve">2. wie sich Beschäftigte und Dritte, soweit es der Arbeitsschutz erfordert, innerhalb oder außerhalb von Betrieben beim Umgang mit explosionsgefährlichen Stoffen oder mit Sprengzubehör zu verhalten haben,</w:t>
      </w:r>
    </w:p>
    <w:p>
      <w:pPr>
        <w:ind w:left="420"/>
      </w:pPr>
      <w:r>
        <w:t xml:space="preserve">3. dass explosionsgefährliche Stoffe nur an der Herstellungsstätte oder an dem Ort, an dem sie innerhalb eines Betriebes verwendet werden, oder in besonderen Lagern aufbewahrt werden dürfen, und dass diese Lager insbesondere hinsichtlich des Standortes, der Bauweise, der Einrichtung und des Betriebes bestimmten Sicherheitsanforderungen genügen müssen,</w:t>
      </w:r>
    </w:p>
    <w:p>
      <w:pPr>
        <w:ind w:left="420"/>
      </w:pPr>
      <w:r>
        <w:t xml:space="preserve">4. nach welchen Sicherheitsvorschriften explosionsgefährliche Stoffe außerhalb eines Lagers aufbewahrt werden dürfen,</w:t>
      </w:r>
    </w:p>
    <w:p>
      <w:pPr>
        <w:ind w:left="420"/>
      </w:pPr>
      <w:r>
        <w:t xml:space="preserve">5. dass explosionsgefährliche Stoffe bestimmten Lager- und Verträglichkeitsgruppen zuzuordnen sind und dass die Zuordnung der Bundesanstalt, für ausschließlich für militärische Zwecke bestimmte Stoffe der zuständigen Behörde der Bundeswehr übertragen wird,</w:t>
      </w:r>
    </w:p>
    <w:p>
      <w:pPr>
        <w:ind w:left="420"/>
      </w:pPr>
      <w:r>
        <w:t xml:space="preserve">6. dass Anzeigen zu erstatten und ihnen bestimmte Unterlagen beizufügen sind.</w:t>
      </w:r>
    </w:p>
    <w:p>
      <w:r>
        <w:rPr>
          <w:color w:val="555555"/>
          <w:sz w:val="17"/>
        </w:rPr>
        <w:t xml:space="preserve">Zitiervorschlag: § 25 SprengG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https://recht.nulegal.eu/gesetze/SprengG%201976/25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