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16e SprengG 1976 — Maßnahmen des Herstellers von Explosivstoffen und pyrotechnischen Gegenständen bei Nichtkonformität</w:t>
      </w:r>
    </w:p>
    <w:p>
      <w:r>
        <w:rPr>
          <w:color w:val="555555"/>
          <w:sz w:val="18"/>
        </w:rPr>
        <w:t xml:space="preserve">Sprengstoffgesetz</w:t>
      </w:r>
    </w:p>
    <w:p>
      <w:r>
        <w:rPr>
          <w:color w:val="555555"/>
          <w:sz w:val="18"/>
        </w:rPr>
        <w:t xml:space="preserve">Stand: 10.06.2019 (konsolidierte Textfassung, kein amtliches Inkrafttretensdatum)</w:t>
      </w:r>
    </w:p>
    <w:p>
      <w:r>
        <w:t xml:space="preserve">Hat der Hersteller berechtigten Grund zu der Annahme, dass ein von ihm in Verkehr gebrachter Explosivstoff oder pyrotechnischer Gegenstand nicht den gesetzlichen Anforderungen genügt, hat er unverzüglich Maßnahmen zu ergreifen, durch die die Konformität des Explosivstoffes oder pyrotechnischen Gegenstandes hergestellt wird. Wenn dies nicht möglich ist, muss er den Explosivstoff oder pyrotechnischen Gegenstand zurücknehmen oder zurückrufen. Geht von dem Explosivstoff oder pyrotechnischen Gegenstand eine Gefahr aus, unterrichtet der Hersteller unverzüglich die zuständigen Behörden der Mitgliedstaaten der Europäischen Union, in denen er den Explosivstoff oder pyrotechnischen Gegenstand auf dem Markt bereitgestellt hat, über die Nichtkonformität und die bereits ergriffenen Maßnahmen.</w:t>
      </w:r>
    </w:p>
    <w:p>
      <w:r>
        <w:rPr>
          <w:color w:val="555555"/>
          <w:sz w:val="17"/>
        </w:rPr>
        <w:t xml:space="preserve">Zitiervorschlag: § 16e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https://recht.nulegal.eu/gesetze/SprengG%201976/16e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16e SprengG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