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16d SprengG 1976 — Bevollmächtigung durch den Hersteller von Explosivstoffen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von Explosivstoffen kann schriftlich einen Bevollmächtigten benennen.</w:t>
      </w:r>
    </w:p>
    <w:p>
      <w:r>
        <w:t xml:space="preserve">(2) Die Vollmacht muss mindestens folgende Pflichten umfassen:</w:t>
      </w:r>
    </w:p>
    <w:p>
      <w:pPr>
        <w:ind w:left="420"/>
      </w:pPr>
      <w:r>
        <w:t xml:space="preserve">1. Bereithaltung der EU-Konformitätserklärung und der technischen Unterlagen für die zuständigen Behörden für die Dauer von zehn Jahren ab dem Inverkehrbringen des Explosivstoffes,</w:t>
      </w:r>
    </w:p>
    <w:p>
      <w:pPr>
        <w:ind w:left="420"/>
      </w:pPr>
      <w:r>
        <w:t xml:space="preserve">2. Vorlage aller erforderlichen Informationen und Unterlagen zum Nachweis der Konformität eines Explosivstoffes auf Verlangen der zuständigen Behörde,</w:t>
      </w:r>
    </w:p>
    <w:p>
      <w:pPr>
        <w:ind w:left="420"/>
      </w:pPr>
      <w:r>
        <w:t xml:space="preserve">3. im Aufgabenbereich des Bevollmächtigten die Zusammenarbeit mit der zuständigen Behörde bei allen Maßnahmen, die dazu dienen, Risiken auszuschließen, die mit Explosivstoffen verbunden sind.</w:t>
      </w:r>
    </w:p>
    <w:p>
      <w:r>
        <w:t xml:space="preserve">(3) Die Pflichten des § 16b Absatz 1 Nummer 1 und Absatz 2 Nummer 1 dürfen nicht Gegenstand der Vollmacht sein.</w:t>
      </w:r>
    </w:p>
    <w:p>
      <w:r>
        <w:rPr>
          <w:color w:val="555555"/>
          <w:sz w:val="17"/>
        </w:rPr>
        <w:t xml:space="preserve">Zitiervorschlag: § 16d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https://recht.nulegal.eu/gesetze/SprengG%201976/16d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16d SprengG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