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SprengG 1976 — Befreiung von der Erlaubnispflicht</w:t>
      </w:r>
    </w:p>
    <w:p>
      <w:r>
        <w:rPr>
          <w:color w:val="555555"/>
          <w:sz w:val="18"/>
        </w:rPr>
        <w:t xml:space="preserve">Sprengstoffgesetz</w:t>
      </w:r>
    </w:p>
    <w:p>
      <w:r>
        <w:rPr>
          <w:color w:val="555555"/>
          <w:sz w:val="18"/>
        </w:rPr>
        <w:t xml:space="preserve">Stand: 30.06.2020 (konsolidierte Textfassung, kein amtliches Inkrafttretensdatum)</w:t>
      </w:r>
    </w:p>
    <w:p>
      <w:r>
        <w:t xml:space="preserve">(1) Einer Erlaubnis nach § 7 Abs. 1 bedarf nicht, wer den Umgang und den Verkehr mit explosionsgefährlichen Stoffen betreibt, soweit hierfür eine Erlaubnis nach dem Waffengesetz erforderlich ist.</w:t>
      </w:r>
    </w:p>
    <w:p>
      <w:r>
        <w:t xml:space="preserve">(2) Einer Erlaubnis nach § 7 Abs. 1 Nr. 1 bedarf nicht, wer explosionsgefährliche Stoffe in den oder aus dem Geltungsbereich dieses Gesetzes einführt, ausführt oder verbringt oder durch den Geltungsbereich dieses Gesetzes durchführt und keinen Wohnsitz, ständigen Aufenthaltsort oder keine Niederlassung im Geltungsbereich dieses Gesetzes hat, sofern eine Person diese Stoffe begleitet, die einen Befähigungsschein nach § 20 besitzt oder die der Bund oder ein Land mit der Begleitung schriftlich beauftragt hat.</w:t>
      </w:r>
    </w:p>
    <w:p>
      <w:r>
        <w:t xml:space="preserve">(3) Das Bundesministerium des Innern, für Bau und Heimat wird ermächtigt, durch Rechtsverordnung, die nicht der Zustimmung des Bundesrates bedarf, von dem Erfordernis einer Begleitung der Stoffe nach Absatz 2 abzusehen, wenn</w:t>
      </w:r>
    </w:p>
    <w:p>
      <w:pPr>
        <w:ind w:left="420"/>
      </w:pPr>
      <w:r>
        <w:t xml:space="preserve">1. die Person einen Wohnsitz, einen ständigen Aufenthaltsort oder eine Niederlassung außerhalb des Geltungsbereiches dieses Gesetzes hat und dort Vorschriften über die besonderen Anforderungen an die Sicherheit der rechtmäßigen Verwendung dieser Stoffe bestehen, die diesem Gesetz vergleichbar sind, und</w:t>
      </w:r>
    </w:p>
    <w:p>
      <w:pPr>
        <w:ind w:left="420"/>
      </w:pPr>
      <w:r>
        <w:t xml:space="preserve">2. die die Stoffe begleitende Person nach den in Nummer 1 bezeichneten Vorschriften zum Verbringen befugt ist.</w:t>
      </w:r>
    </w:p>
    <w:p>
      <w:r>
        <w:rPr>
          <w:color w:val="555555"/>
          <w:sz w:val="17"/>
        </w:rPr>
        <w:t xml:space="preserve">Zitiervorschlag: § 13 SprengG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https://recht.nulegal.eu/gesetze/SprengG%201976/13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