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SprengG 1976 — Anwendungsbereich</w:t>
      </w:r>
    </w:p>
    <w:p>
      <w:r>
        <w:rPr>
          <w:color w:val="555555"/>
          <w:sz w:val="18"/>
        </w:rPr>
        <w:t xml:space="preserve">Sprengstoffgesetz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regelt den Umgang und den Verkehr mit sowie die Einfuhr und die Durchfuhr von</w:t>
      </w:r>
    </w:p>
    <w:p>
      <w:pPr>
        <w:ind w:left="420"/>
      </w:pPr>
      <w:r>
        <w:t xml:space="preserve">1. explosionsgefährlichen Stoffen und</w:t>
      </w:r>
    </w:p>
    <w:p>
      <w:pPr>
        <w:ind w:left="420"/>
      </w:pPr>
      <w:r>
        <w:t xml:space="preserve">2. Sprengzubehör.</w:t>
      </w:r>
    </w:p>
    <w:p>
      <w:r>
        <w:t xml:space="preserve">(2) Explosionsgefährliche Stoffe werden nach ihrem Verwendungszweck unterteilt in</w:t>
      </w:r>
    </w:p>
    <w:p>
      <w:pPr>
        <w:ind w:left="420"/>
      </w:pPr>
      <w:r>
        <w:t xml:space="preserve">1. Explosivstoffe (§ 3 Absatz 1 Nummer 2),</w:t>
      </w:r>
    </w:p>
    <w:p>
      <w:pPr>
        <w:ind w:left="420"/>
      </w:pPr>
      <w:r>
        <w:t xml:space="preserve">2. pyrotechnische Gegenstände (§ 3 Absatz 1 Nummer 3) und</w:t>
      </w:r>
    </w:p>
    <w:p>
      <w:pPr>
        <w:ind w:left="420"/>
      </w:pPr>
      <w:r>
        <w:t xml:space="preserve">3. sonstige explosionsgefährliche Stoffe (§ 3 Absatz 1 Nummer 9).</w:t>
      </w:r>
    </w:p>
    <w:p>
      <w:r>
        <w:t xml:space="preserve">(3) Mit Ausnahme des § 2 gilt dieses Gesetz auch für explosionsfähige Stoffe, die nicht explosionsgefährlich sind, jedoch für Sprengarbeiten bestimmt sind, soweit nicht durch dieses Gesetz oder auf Grund dieses Gesetzes Abweichendes bestimmt ist.</w:t>
      </w:r>
    </w:p>
    <w:p>
      <w:r>
        <w:t xml:space="preserve">(4) Für sonstige explosionsgefährliche Stoffe nach § 2 Absatz 3 gelten bei den in Absatz 1 bezeichneten Tätigkeiten</w:t>
      </w:r>
    </w:p>
    <w:p>
      <w:pPr>
        <w:ind w:left="420"/>
      </w:pPr>
      <w:r>
        <w:t xml:space="preserve">1. bei Zuordnung der sonstigen explosionsgefährlichen Stoffe zur Stoffgruppe A alle Vorschriften dieses Gesetzes mit Ausnahme derer, die sich ausschließlich auf Explosivstoffe, pyrotechnische Gegenstände oder Sprengzubehör beziehen,</w:t>
      </w:r>
    </w:p>
    <w:p>
      <w:pPr>
        <w:ind w:left="420"/>
      </w:pPr>
      <w:r>
        <w:t xml:space="preserve">2. bei Zuordnung der sonstigen explosionsgefährlichen Stoffe zur Stoffgruppe B die §§ 5f, 6, 14, 17 bis 25 sowie § 26 Absatz 2, die §§ 30 bis 32, § 33 Absatz 3, § 33b sowie die §§ 34 bis 39,</w:t>
      </w:r>
    </w:p>
    <w:p>
      <w:pPr>
        <w:ind w:left="420"/>
      </w:pPr>
      <w:r>
        <w:t xml:space="preserve">3. bei Zuordnung der sonstigen explosionsgefährlichen Stoffe zur Stoffgruppe C § 6 Absatz 1 Nummer 3 Buchstabe b und Nummer 4, die §§ 17 bis 19, 24, 25 sowie § 26 Absatz 2, die §§ 30 bis 32, § 33 Absatz 3, § 33b sowie die §§ 34 und 36 bis 39.</w:t>
      </w:r>
    </w:p>
    <w:p>
      <w:r>
        <w:rPr>
          <w:color w:val="555555"/>
          <w:sz w:val="17"/>
        </w:rPr>
        <w:t xml:space="preserve">Zitiervorschlag: § 1 SprengG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https://recht.nulegal.eu/gesetze/SprengG%201976/1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