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SprNeiG (Brandenburg)</w:t>
      </w:r>
    </w:p>
    <w:p>
      <w:r>
        <w:rPr>
          <w:color w:val="555555"/>
          <w:sz w:val="18"/>
        </w:rPr>
        <w:t xml:space="preserve">Spree-Neiße-Gesetz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Kreisname nach § 1 und der Kreissitz nach § 2 werden mit Ablauf des Tages der nächsten landesweiten Kreistagswahl rechtswirksam.</w:t>
      </w:r>
    </w:p>
    <w:p>
      <w:r>
        <w:rPr>
          <w:color w:val="555555"/>
          <w:sz w:val="17"/>
        </w:rPr>
        <w:t xml:space="preserve">Zitiervorschlag: § 4 SprNeiG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https://recht.nulegal.eu/gesetze/SprNeiG/4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