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SprAuG — Wahlanfechtung, Wahlschutz und Wahlkosten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Die Wahl kann beim Arbeitsgericht angefochten werden, wenn gegen wesentliche Vorschriften über das Wahlrecht, die Wählbarkeit oder das Wahlverfahren verstoßen worden ist und eine Berichtigung nicht erfolgt ist, es sei denn, daß durch den Verstoß das Wahlergebnis nicht geändert oder beeinflußt werden konnte. Zur Anfechtung berechtigt sind mindestens drei leitende Angestellte oder der Arbeitgeber. Die Wahlanfechtung ist nur innerhalb einer Frist von zwei Wochen, vom Tage der Bekanntgabe des Wahlergebnisses an gerechnet, zulässig.</w:t>
      </w:r>
    </w:p>
    <w:p>
      <w:r>
        <w:t xml:space="preserve">(2) Niemand darf die Wahl des Sprecherausschusses behindern. Insbesondere darf kein leitender Angestellter in der Ausübung des aktiven und passiven Wahlrechts beschränkt werden. Niemand darf die Wahl des Sprecherausschusses durch Zufügung oder Androhung von Nachteilen oder durch Gewährung oder Versprechen von Vorteilen beeinflussen.</w:t>
      </w:r>
    </w:p>
    <w:p>
      <w:r>
        <w:t xml:space="preserve">(3) Die Kosten der Wahl trägt der Arbeitgeber. Versäumnis von Arbeitszeit, die zur Ausübung des Wahlrechts, zur Betätigung im Wahlvorstand oder zur Tätigkeit als Vermittler (§ 18a des Betriebsverfassungsgesetzes) erforderlich ist, berechtigt den Arbeitgeber nicht zur Minderung des Arbeitsentgelts.</w:t>
      </w:r>
    </w:p>
    <w:p>
      <w:r>
        <w:rPr>
          <w:color w:val="555555"/>
          <w:sz w:val="17"/>
        </w:rPr>
        <w:t xml:space="preserve">Zitiervorschlag: § 8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