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SprAuG — Bußgeldvorschriften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eine der in § 30 Satz 1, § 31 Abs. 1 oder § 32 Abs. 1 Satz 1 oder Abs. 2 Satz 1 genannten Unterrichtungs- oder Mitteilungspflichten nicht, wahrheitswidrig, unvollständig oder verspätet erfüllt.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36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