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SprAuG — Straftaten gegen Vertretungsorgane der leitenden Angestellten und ihre Mitglieder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einem Jahr oder mit Geldstrafe wird bestraft, wer</w:t>
      </w:r>
    </w:p>
    <w:p>
      <w:pPr>
        <w:ind w:left="420"/>
      </w:pPr>
      <w:r>
        <w:t xml:space="preserve">1. eine Wahl des Sprecherausschusses oder des Unternehmenssprecherausschusses behindert oder durch Zufügung oder Androhung von Nachteilen oder durch Gewährung oder Versprechen von Vorteilen beeinflußt,</w:t>
      </w:r>
    </w:p>
    <w:p>
      <w:pPr>
        <w:ind w:left="420"/>
      </w:pPr>
      <w:r>
        <w:t xml:space="preserve">2. die Tätigkeit des Sprecherausschusses, des Gesamtsprecherausschusses, des Unternehmenssprecherausschusses oder des Konzernsprecherausschusses behindert oder stört oder</w:t>
      </w:r>
    </w:p>
    <w:p>
      <w:pPr>
        <w:ind w:left="420"/>
      </w:pPr>
      <w:r>
        <w:t xml:space="preserve">3. ein Mitglied oder ein Ersatzmitglied des Sprecherausschusses, des Gesamtsprecherausschusses, des Unternehmenssprecherausschusses oder des Konzernsprecherausschusses um seiner Tätigkeit willen benachteiligt oder begünstigt.</w:t>
      </w:r>
    </w:p>
    <w:p>
      <w:r>
        <w:t xml:space="preserve">(2) Die Tat wird nur auf Antrag des Sprecherausschusses, des Gesamtsprecherausschusses, des Unternehmenssprecherausschusses, des Konzernsprecherausschusses, des Wahlvorstands oder des Unternehmers verfolgt.</w:t>
      </w:r>
    </w:p>
    <w:p>
      <w:r>
        <w:rPr>
          <w:color w:val="555555"/>
          <w:sz w:val="17"/>
        </w:rPr>
        <w:t xml:space="preserve">Zitiervorschlag: § 34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